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3" w:afterLines="30" w:afterAutospacing="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u w:val="none"/>
          <w:lang w:eastAsia="zh-CN"/>
        </w:rPr>
        <w:t>西平县县域商业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u w:val="none"/>
        </w:rPr>
        <w:t>体系建设重点任务清单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</w:t>
      </w:r>
      <w:bookmarkEnd w:id="0"/>
    </w:p>
    <w:tbl>
      <w:tblPr>
        <w:tblStyle w:val="4"/>
        <w:tblW w:w="13534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909090"/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1706"/>
        <w:gridCol w:w="1533"/>
        <w:gridCol w:w="2900"/>
        <w:gridCol w:w="3167"/>
        <w:gridCol w:w="1450"/>
        <w:gridCol w:w="1333"/>
        <w:gridCol w:w="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8" w:hRule="atLeast"/>
          <w:tblHeader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类型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工作任务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主要内容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完成时间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牵头单位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责任单位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31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县城商业网点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改造升级县城综合商贸服务中心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推动消费业态集聚，满足县域居民大件、高端消费。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2022年12月前完成规划设计；2023年12月前完善业态植入。2024年12月完成统一结算业务，备齐相应标准设施设备。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县住建局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县自然资源局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各街道办事处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78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乡镇商业网点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全县各乡镇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商贸中心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满足乡镇居民实用消费和一般生活服务需求。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2022年12月完成规划设计；2023年12月前满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果蔬肉蛋、小食、日杂用品等生活消费；2024年12月前补齐相应标准设施设备，并开展业务。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各乡镇（街道）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县住建局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县自然资源局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66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村级商业网点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村级便民店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满足村民就近、便利消费。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2022年12月完成规划设计、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定项目主体；2023年12月前满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果蔬肉蛋、小食、日杂用品等生活消费品；2024年12月前补齐相应标准设施设备，并开展业务。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各乡镇（街道）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县供销社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邮政公司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222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县域物流枢纽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县级物流配送中心项目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实现物流配送覆盖县城和主要乡镇村。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2022年12月前完成规划设计；2023年12月前完成功能分区，配备统一的货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、仓库、分拣、配送等车辆设施设备，整合现有入驻主体；2024年12月前完成整合，补齐冷藏冷冻等设施设备，实现深度整合。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县交通运输局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县住建局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县自然资源局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邮政公司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95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乡村末端物流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末端配送网点建设项目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建设改造一批乡镇邮政、快递网点和村级寄递物流综合服务站，提供消费品下乡、农产品进城寄递服务，基本实现乡镇有网点，村村有服务。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2022年12月前完成乡、村网点布局，实现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乡镇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网点全覆盖；2023年12月前完成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部分村级网点，实现业务全覆盖；2024年12月前与其它快递企业实现业务融合。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邮政公司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县政务服务和大数据管理局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27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物流资源整合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西平县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配送业务整合项目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推动辖区内快递企业等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化合作，实现信息、配送等资源整合，开展共同配送。实现商贸物流、电商快递、农产品上行等同类物流标准商品的统仓、共配。全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30%以上乡镇、村物流快递实现统一分拣、配送。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完成整合方案；2023年12月前完成实现物流配送中心、车辆、人员、线路等资源整合，以及对电商快递包裹的统一配送；2024年12月前完成村级商店、合作社、农户、邮政等整合，同步推进数字化、自动化、标准化建设、智能化建设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邮政公司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县交通运输局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县政务服务和大数据管理局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60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农村电子商务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西平县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农村电商示范项目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1.积极引导全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农特产品入驻电商平台；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开设京东·西平特色馆，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农产品上行能力与效率显著提升；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健全县乡村三级农产品网络销售服务体系；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农村电商服务对具备条件的行政村100%覆盖。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积极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引导农特产品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网络销售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完成京东·西平特色馆开设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；2023年12月前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各类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电商平台进一步完善；2024年12月前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进一步提升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县乡村三级农产品网络销售服务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质量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，实现电商行政村全覆盖。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县交通运输局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邮政公司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县供销社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县政务服务和大数据管理局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01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农产品流通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西平县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冷链集配项目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在农产品集中地建立集初加工、冷藏保鲜仓储、集中采购和跨区域配送能力的农产品产地集配中心；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2.产地低温处理率提高到30%。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2022年12月完成冷链集配中心项目建设；2023年12月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完成项目前置仓、分拨仓、配备冷藏和低温设备；2024年12月前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新增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冷库库容15000立方米；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建成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规模适度的农产品冷藏保鲜设施4个。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县发改委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县交通运输局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县自然资源局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县供销社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017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农产品流通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西平县农商智慧城项目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用地面积约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项目功能定位为集农产品批发、展览交易、净菜加工和配送、冷链仓储物流、电子商务和综合性配套服务（检疫检测、电子结算、信息发布、教育培训、创业孵化、金融服务、休闲娱乐）等功能为一体的现代化大型综合服务平台。项目总投资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亿元以上。项目建成后，成为立足西平，辐射周边的农产品产销集散中心、质检中心、大数据管理中心、结算中心和价格指导中心。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招商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；202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前建成投入使用。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县发改委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县自然资源局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县农业农村局、县财政局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116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农产品流通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乡镇农贸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集市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标准化升级改造项目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1.实现水、电、通讯、仓储、停车场改造建设；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2.完善交易设施、冷藏冷冻、加工配送、电子结算、检验检测、安全监控、消防设施等配套设备；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3.具备清洗、消毒、公厕、污水处理、防疫卫生等保障措施；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4.配套餐饮、农特产品展示展销等业态。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完成规划设计；2023年12月前完成水、电、仓储、停车场、公厕改造建设；2024年12月前完善交易设施、冷藏冷冻、加工配送、电子结算、检验检测、安全监控、消毒、污水处理、防疫卫生保障措施，配套餐饮、农特产品展示展销等业态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县供销社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154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农产品流通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西平县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惠民生鲜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超市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建设项目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1.实现统一标牌、统一配送、统一检测等功能；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2.设立惠民生鲜专区、1元区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3.达到农产品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公益性保障要求，打造“网上惠民生鲜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超市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”，实现网上下单、线下提货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4.实现县城区域惠民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超市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全覆盖。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2022年12月前，完成3个以上惠民生鲜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超市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样本；2023年12月前，完成惠民生鲜标准化建设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2024年12月前实现惠民生鲜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超市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县城区域全覆盖。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169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主体培育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商贸流通企业转型升级培育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1.完成数字化、连锁化改造，初步建立供应链体系，引领县域商业发展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2.通过运营主体引导带动产业链上下游各类主体形成协同高效、利益共享的农产品供应链体系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3.根据需求及时调整生产和供给，合理制定销售计划；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4.进一步提升主要农产品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公益性，增强保供稳价能力。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2022年12月前完成培育方案；2023年12月前完成数字化、连锁化改造，初步建立供应链体系，引领县域商业发展。根据需求及时调整生产和供给，合理制定销售计划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2024年12月前通过运营主体引导带动产业链上下游各类主体形成协同高效、利益共享的农产品供应链体系，进一步提升主要农产品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公益性，增强保供稳价能力。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邮政公司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84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农村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市场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秩序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1.加强农村食品安全监管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2.强化农产品质量安全监管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1.支持运营主体通过开展农产品质量安全全程追溯示点。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2.加强对农产品供应链全链条的质量安全监管和检测。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3.主要食品销售企业100%实现食品经营风险分级动态管理；推进农产品质量安全追溯体系建设。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2022年12月前确定追溯示点企业；2023年12月前完成追溯示点样本；2024年12月前追溯示点运营正常，实现供应链质量安全监管和检测，主要企业实现食品经营风险分级动态管理。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县市场监管局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县公安局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8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县域商业规划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优化完善商业体系建设规划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商业体系建设作出全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面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部署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2022年6月前完善。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县自然资源局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县住建局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县文广旅局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909090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50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06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消费统计</w:t>
            </w:r>
          </w:p>
        </w:tc>
        <w:tc>
          <w:tcPr>
            <w:tcW w:w="15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1.加强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消费统计体系建设；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2.建立农村地区农产品生产加工流通统计体系。</w:t>
            </w:r>
          </w:p>
        </w:tc>
        <w:tc>
          <w:tcPr>
            <w:tcW w:w="290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1.完善县域消费零售额、网络零售额、规模以上商贸流通企业等统计监测；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2.建立大宗农产品流通、农产品网络零售等统计指标。</w:t>
            </w:r>
          </w:p>
        </w:tc>
        <w:tc>
          <w:tcPr>
            <w:tcW w:w="3167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从方案实施起，开始统计。</w:t>
            </w:r>
          </w:p>
        </w:tc>
        <w:tc>
          <w:tcPr>
            <w:tcW w:w="1450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县商务局</w:t>
            </w:r>
          </w:p>
        </w:tc>
        <w:tc>
          <w:tcPr>
            <w:tcW w:w="1333" w:type="dxa"/>
            <w:shd w:val="clear" w:color="auto" w:fill="FFFFFF"/>
            <w:noWrap w:val="0"/>
            <w:tcMar>
              <w:top w:w="14" w:type="dxa"/>
              <w:lef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县统计局、县市场监管局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县农业农村局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县政务服务和大数据管理局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  <w:t>、各乡镇（街道）</w:t>
            </w:r>
          </w:p>
        </w:tc>
        <w:tc>
          <w:tcPr>
            <w:tcW w:w="734" w:type="dxa"/>
            <w:shd w:val="clear" w:color="auto" w:fill="FFFFFF"/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24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/>
    <w:sectPr>
      <w:footerReference r:id="rId3" w:type="default"/>
      <w:pgSz w:w="16838" w:h="11906" w:orient="landscape"/>
      <w:pgMar w:top="1701" w:right="2154" w:bottom="1587" w:left="2154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549A3"/>
    <w:multiLevelType w:val="singleLevel"/>
    <w:tmpl w:val="A3A549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GE3YTBkNWNiNGE2ODJmZTFhZDc5YzhjZTM5ZTIifQ=="/>
  </w:docVars>
  <w:rsids>
    <w:rsidRoot w:val="0FB12598"/>
    <w:rsid w:val="0FB1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Char Char Char"/>
    <w:basedOn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2023-03-16T09:09:00Z</dcterms:created>
  <dc:creator>ASUS</dc:creator>
  <cp:lastModifiedBy>ASUS</cp:lastModifiedBy>
  <dcterms:modified xsi:type="dcterms:W3CDTF">2023-03-16T09:10:03Z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6F6582FAB4F0401AA24C1C202EB0ED46</vt:lpwstr>
  </property>
</Properties>
</file>