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2019年西平县本级一般公共预算“三公</w:t>
      </w:r>
      <w:r>
        <w:rPr>
          <w:rFonts w:asciiTheme="majorEastAsia" w:hAnsiTheme="majorEastAsia" w:eastAsiaTheme="majorEastAsia"/>
          <w:sz w:val="44"/>
          <w:szCs w:val="44"/>
        </w:rPr>
        <w:t>”</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经费安排情况说明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2019年县本级一般公共预算“三公”经费预算安排615.8万元，较上年预算下降15%。其中接待费384万元，公务用车购置和运营费231.8万元，</w:t>
      </w:r>
      <w:r>
        <w:rPr>
          <w:rFonts w:hint="eastAsia" w:ascii="仿宋" w:hAnsi="仿宋" w:eastAsia="仿宋"/>
          <w:sz w:val="32"/>
          <w:szCs w:val="32"/>
          <w:lang w:val="en-US" w:eastAsia="zh-CN"/>
        </w:rPr>
        <w:t>全部</w:t>
      </w:r>
      <w:bookmarkStart w:id="0" w:name="_GoBack"/>
      <w:bookmarkEnd w:id="0"/>
      <w:r>
        <w:rPr>
          <w:rFonts w:hint="eastAsia" w:ascii="仿宋" w:hAnsi="仿宋" w:eastAsia="仿宋"/>
          <w:sz w:val="32"/>
          <w:szCs w:val="32"/>
        </w:rPr>
        <w:t>是全供事业单位车辆运营费，机关和参照公务员管理单位的事业单位因公车改革除有保留车辆单位安排运营维护费以外，其他不再安排车辆购置和运营经费；出国费用因我县年初没有单位申请该项费用，未安排。</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2019年4月10日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1F"/>
    <w:rsid w:val="00150AF8"/>
    <w:rsid w:val="00231716"/>
    <w:rsid w:val="0038371F"/>
    <w:rsid w:val="0039055E"/>
    <w:rsid w:val="00492BFB"/>
    <w:rsid w:val="0052519B"/>
    <w:rsid w:val="005D7C6F"/>
    <w:rsid w:val="0064307C"/>
    <w:rsid w:val="007152E9"/>
    <w:rsid w:val="00826668"/>
    <w:rsid w:val="009F0D7F"/>
    <w:rsid w:val="00D237B1"/>
    <w:rsid w:val="00E74AE5"/>
    <w:rsid w:val="5078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36</Words>
  <Characters>210</Characters>
  <Lines>1</Lines>
  <Paragraphs>1</Paragraphs>
  <TotalTime>10</TotalTime>
  <ScaleCrop>false</ScaleCrop>
  <LinksUpToDate>false</LinksUpToDate>
  <CharactersWithSpaces>245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2018-01-26T03:27:00Z</dcterms:created>
  <dc:creator>Administrator</dc:creator>
  <cp:lastModifiedBy>ysg</cp:lastModifiedBy>
  <dcterms:modified xsi:type="dcterms:W3CDTF">2019-11-15T03:32:28Z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