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2020</w:t>
      </w:r>
      <w:r>
        <w:rPr>
          <w:rFonts w:hint="eastAsia" w:ascii="宋体" w:hAnsi="宋体" w:cs="宋体"/>
          <w:sz w:val="44"/>
          <w:szCs w:val="44"/>
        </w:rPr>
        <w:t>年度西平县城市管理局部门预算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西平县城市管理局概况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一、主要职能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二、部门预算单位构成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第二部分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西平县城市管理局</w:t>
      </w:r>
      <w:r>
        <w:rPr>
          <w:rFonts w:ascii="黑体" w:hAnsi="黑体" w:eastAsia="黑体" w:cs="黑体"/>
          <w:sz w:val="32"/>
          <w:szCs w:val="32"/>
        </w:rPr>
        <w:t>2020</w:t>
      </w:r>
      <w:r>
        <w:rPr>
          <w:rFonts w:hint="eastAsia" w:ascii="黑体" w:hAnsi="黑体" w:eastAsia="黑体" w:cs="黑体"/>
          <w:sz w:val="32"/>
          <w:szCs w:val="32"/>
        </w:rPr>
        <w:t>年度部门预算情况说明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一、收入支出预算总体情况说明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二、收入预算总体情况说明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三、支出预算总体情况说明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四、财政拨款收入支出预算总体情况说明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五、一般公共预算支出预算情况说明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六、一般公共预算基本支出预算情况说明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七、政府性基金预算支出预算情况说明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八、“三公”经费支出预算情况说明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九、其他重要事项的情况说明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名词解释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附件：西平县城市管理局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一、部门收支总体情况表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二、部门收入总体情况表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三、部门支出总体情况表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四、财政拨款收支总体情况表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五、一般公共预算支出情况表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六、一般公共预算基本支出情况表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七、一般公共预算“三公”经费支出情况表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八、政府性基金预算支出情况表</w:t>
      </w:r>
    </w:p>
    <w:p>
      <w:pPr>
        <w:jc w:val="center"/>
        <w:rPr>
          <w:rFonts w:ascii="宋体" w:cs="宋体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西平县城市管理局概况</w:t>
      </w: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一、西平县城市管理局主要职责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（一）贯彻执行国家、省、市有关城市管理的方针、政策和法律、法规、规章；研究拟订城市管理规划、年度工作计划及实施细则，经批准后组织实施。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县城规划区内市政公用设施运行管理职责。建立城建档案，完善市政公用设施管理信息，实现档案信息共享。负责市政公用设施管护工作和应急管理，负责城市道路管理、城市地下综合管廊、给排水和垃圾处理等基础设施管理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负责县城规划区内城市规划实施管理职责。负责户外广告、门店牌匾设置管理；负责城市街头流浪乞讨人员救助协调工作；按照授权，负责无照商贩无证摊贩、散发张贴小广告、街头非法回收药品、贩卖非法出版物等行为的查处工作；负责查处擅自变更建设项目规划设计和用途、违规占用公共空间以及乱贴乱画乱挂等行为；按照授权，负责查处违法建设行为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（四）按照授权，负责县城规划区内非法占道停车及非法挪用、占用停车设施的查处工作。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负责县城规划区人居环境改善工作。负责城市园林绿化和环境卫生工作；按照授权，负责大气、噪声、固体废物、河湖水系等环境管理工作；负责建筑施工噪声扰民、施工扬尘和渣土运输抛洒的查处工作。推进垃圾减量化、资源化、无害化管理。负责废弃电器电子产品回收处理和医疗垃圾集中处理管理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负责城市管理信息平台建设。积极推进城市管理数字化、精细化、智慧化，整合人口、交通、能源、建设等公共设施信息和公共基础服务，拓展数字化城市管理平台功能，实现感知、分析、服务、指挥、监察“五位一体”。综合利用各类监测监控手段，强化视频监控、环境监测、交通运行、供水供气供电、防洪防涝、生命线保障等城市运行数据的综合采集和管理分析，形成综合性城市管理数据库，重点推进城市建筑物数据库建设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负责城市基础设施智慧化管理与监控服务，加快市政公用设施智慧化改造升级，构建城市虚拟仿真系统，强化城镇重点应用工程建设。负责发展智慧管网，实现城市地下空间、地下综合管廊、地下管网管理信息化和运行智能化。负责城市管理和综合执法档案信息化建设。依托信息化技术，综合利用视频一体化技术，探索快速处置、非现场执法等新型执法模式，提升执法效能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（八）配合有关部门开展城市创建活动。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（九）承办县政府交办的其他事项。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二、西平县城市管理局预算单位构成</w:t>
      </w:r>
    </w:p>
    <w:p>
      <w:pPr>
        <w:pStyle w:val="3"/>
        <w:widowControl/>
        <w:spacing w:beforeAutospacing="0" w:afterAutospacing="0"/>
        <w:ind w:firstLine="645"/>
        <w:jc w:val="both"/>
        <w:rPr>
          <w:rFonts w:ascii="Tahoma" w:hAnsi="Tahoma" w:cs="Tahoma"/>
          <w:color w:val="333333"/>
        </w:rPr>
      </w:pPr>
      <w:r>
        <w:rPr>
          <w:rFonts w:hint="eastAsia" w:ascii="仿宋_GB2312" w:eastAsia="仿宋_GB2312"/>
          <w:sz w:val="32"/>
          <w:szCs w:val="32"/>
        </w:rPr>
        <w:t>西平县城市管理局内设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个股室即办公室、法制室、业务股和人事股；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个局直属单位：柏城大队、柏亭大队、柏苑大队、直属大队、路灯管理所、数字化服务中心和河道游园所；二个二级机构即西平城市园林处和西平县环境卫生管理处。</w:t>
      </w:r>
    </w:p>
    <w:p>
      <w:pPr>
        <w:ind w:firstLine="2880" w:firstLineChars="9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西平县城市管理局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年度部门预算情况说明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一、部门收入支出总体情况说明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年收入总计</w:t>
      </w:r>
      <w:r>
        <w:rPr>
          <w:rFonts w:ascii="仿宋_GB2312" w:hAnsi="仿宋_GB2312" w:eastAsia="仿宋_GB2312" w:cs="仿宋_GB2312"/>
          <w:sz w:val="32"/>
          <w:szCs w:val="32"/>
        </w:rPr>
        <w:t>6757.68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ascii="仿宋_GB2312" w:hAnsi="仿宋_GB2312" w:eastAsia="仿宋_GB2312" w:cs="仿宋_GB2312"/>
          <w:sz w:val="32"/>
          <w:szCs w:val="32"/>
        </w:rPr>
        <w:t>6757.68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ascii="仿宋_GB2312" w:hAnsi="仿宋_GB2312" w:eastAsia="仿宋_GB2312" w:cs="仿宋_GB2312"/>
          <w:sz w:val="32"/>
          <w:szCs w:val="32"/>
        </w:rPr>
        <w:t>52201.06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ascii="仿宋_GB2312" w:hAnsi="仿宋_GB2312" w:eastAsia="仿宋_GB2312" w:cs="仿宋_GB2312"/>
          <w:sz w:val="32"/>
          <w:szCs w:val="32"/>
        </w:rPr>
        <w:t>435%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。主要原因是一般性项目支出增加。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二、部门收入总体情况说明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年收入预算</w:t>
      </w:r>
      <w:r>
        <w:rPr>
          <w:rFonts w:ascii="仿宋_GB2312" w:hAnsi="仿宋_GB2312" w:eastAsia="仿宋_GB2312" w:cs="仿宋_GB2312"/>
          <w:sz w:val="32"/>
          <w:szCs w:val="32"/>
        </w:rPr>
        <w:t>6757.68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</w:t>
      </w:r>
      <w:r>
        <w:rPr>
          <w:rFonts w:ascii="仿宋_GB2312" w:hAnsi="仿宋_GB2312" w:eastAsia="仿宋_GB2312" w:cs="仿宋_GB2312"/>
          <w:sz w:val="32"/>
          <w:szCs w:val="32"/>
        </w:rPr>
        <w:t>6757.68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三、部门支出总体情况说明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ascii="仿宋_GB2312" w:hAnsi="仿宋_GB2312" w:eastAsia="仿宋_GB2312" w:cs="仿宋_GB2312"/>
          <w:sz w:val="32"/>
          <w:szCs w:val="32"/>
        </w:rPr>
        <w:t>6757.68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</w:t>
      </w:r>
      <w:r>
        <w:rPr>
          <w:rFonts w:ascii="仿宋_GB2312" w:hAnsi="仿宋_GB2312" w:eastAsia="仿宋_GB2312" w:cs="仿宋_GB2312"/>
          <w:sz w:val="32"/>
          <w:szCs w:val="32"/>
        </w:rPr>
        <w:t>1742.68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ascii="仿宋_GB2312" w:hAnsi="仿宋_GB2312" w:eastAsia="仿宋_GB2312" w:cs="仿宋_GB2312"/>
          <w:sz w:val="32"/>
          <w:szCs w:val="32"/>
        </w:rPr>
        <w:t>25.79%;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</w:t>
      </w:r>
      <w:r>
        <w:rPr>
          <w:rFonts w:ascii="仿宋_GB2312" w:hAnsi="仿宋_GB2312" w:eastAsia="仿宋_GB2312" w:cs="仿宋_GB2312"/>
          <w:sz w:val="32"/>
          <w:szCs w:val="32"/>
        </w:rPr>
        <w:t>5015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ascii="仿宋_GB2312" w:hAnsi="仿宋_GB2312" w:eastAsia="仿宋_GB2312" w:cs="仿宋_GB2312"/>
          <w:sz w:val="32"/>
          <w:szCs w:val="32"/>
        </w:rPr>
        <w:t>74.21%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四、财政拨款收入情况说明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ascii="仿宋_GB2312" w:hAnsi="仿宋_GB2312" w:eastAsia="仿宋_GB2312" w:cs="仿宋_GB2312"/>
          <w:sz w:val="32"/>
          <w:szCs w:val="32"/>
        </w:rPr>
        <w:t>6757.68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年相比，一般公共预算收支预算增加</w:t>
      </w:r>
      <w:r>
        <w:rPr>
          <w:rFonts w:ascii="仿宋_GB2312" w:hAnsi="仿宋_GB2312" w:eastAsia="仿宋_GB2312" w:cs="仿宋_GB2312"/>
          <w:sz w:val="32"/>
          <w:szCs w:val="32"/>
        </w:rPr>
        <w:t>52201.06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万元，上升</w:t>
      </w:r>
      <w:r>
        <w:rPr>
          <w:rFonts w:ascii="仿宋_GB2312" w:hAnsi="仿宋_GB2312" w:eastAsia="仿宋_GB2312" w:cs="仿宋_GB2312"/>
          <w:sz w:val="32"/>
          <w:szCs w:val="32"/>
        </w:rPr>
        <w:t>435%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五、一般公共预算支出情况说明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ascii="仿宋_GB2312" w:hAnsi="仿宋_GB2312" w:eastAsia="仿宋_GB2312" w:cs="仿宋_GB2312"/>
          <w:sz w:val="32"/>
          <w:szCs w:val="32"/>
        </w:rPr>
        <w:t>6757.68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ascii="仿宋_GB2312" w:hAnsi="仿宋_GB2312" w:eastAsia="仿宋_GB2312" w:cs="仿宋_GB2312"/>
          <w:sz w:val="32"/>
          <w:szCs w:val="32"/>
        </w:rPr>
        <w:t>6506.64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ascii="仿宋_GB2312" w:hAnsi="仿宋_GB2312" w:eastAsia="仿宋_GB2312" w:cs="仿宋_GB2312"/>
          <w:sz w:val="32"/>
          <w:szCs w:val="32"/>
        </w:rPr>
        <w:t>96.29%;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</w:t>
      </w:r>
      <w:r>
        <w:rPr>
          <w:rFonts w:ascii="仿宋_GB2312" w:hAnsi="仿宋_GB2312" w:eastAsia="仿宋_GB2312" w:cs="仿宋_GB2312"/>
          <w:sz w:val="32"/>
          <w:szCs w:val="32"/>
        </w:rPr>
        <w:t>122.81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ascii="仿宋_GB2312" w:hAnsi="仿宋_GB2312" w:eastAsia="仿宋_GB2312" w:cs="仿宋_GB2312"/>
          <w:sz w:val="32"/>
          <w:szCs w:val="32"/>
        </w:rPr>
        <w:t>1.82%;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医疗卫生支出</w:t>
      </w:r>
      <w:r>
        <w:rPr>
          <w:rFonts w:ascii="仿宋_GB2312" w:hAnsi="仿宋_GB2312" w:eastAsia="仿宋_GB2312" w:cs="仿宋_GB2312"/>
          <w:sz w:val="32"/>
          <w:szCs w:val="32"/>
        </w:rPr>
        <w:t>45.68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ascii="仿宋_GB2312" w:hAnsi="仿宋_GB2312" w:eastAsia="仿宋_GB2312" w:cs="仿宋_GB2312"/>
          <w:sz w:val="32"/>
          <w:szCs w:val="32"/>
        </w:rPr>
        <w:t>0.68%;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ascii="仿宋_GB2312" w:hAnsi="仿宋_GB2312" w:eastAsia="仿宋_GB2312" w:cs="仿宋_GB2312"/>
          <w:sz w:val="32"/>
          <w:szCs w:val="32"/>
        </w:rPr>
        <w:t>82.55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ascii="仿宋_GB2312" w:hAnsi="仿宋_GB2312" w:eastAsia="仿宋_GB2312" w:cs="仿宋_GB2312"/>
          <w:sz w:val="32"/>
          <w:szCs w:val="32"/>
        </w:rPr>
        <w:t>1.21%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六、一般公共预算基本支出情况说明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年一般公共预算基本支出预算为</w:t>
      </w:r>
      <w:r>
        <w:rPr>
          <w:rFonts w:ascii="仿宋_GB2312" w:hAnsi="仿宋_GB2312" w:eastAsia="仿宋_GB2312" w:cs="仿宋_GB2312"/>
          <w:sz w:val="32"/>
          <w:szCs w:val="32"/>
        </w:rPr>
        <w:t>1742.68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ascii="仿宋_GB2312" w:hAnsi="仿宋_GB2312" w:eastAsia="仿宋_GB2312" w:cs="仿宋_GB2312"/>
          <w:sz w:val="32"/>
          <w:szCs w:val="32"/>
        </w:rPr>
        <w:t>1282.17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万元、对个人和家庭的补助支出</w:t>
      </w:r>
      <w:r>
        <w:rPr>
          <w:rFonts w:ascii="仿宋_GB2312" w:hAnsi="仿宋_GB2312" w:eastAsia="仿宋_GB2312" w:cs="仿宋_GB2312"/>
          <w:sz w:val="32"/>
          <w:szCs w:val="32"/>
        </w:rPr>
        <w:t>2.77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万元、商品服务支出</w:t>
      </w:r>
      <w:r>
        <w:rPr>
          <w:rFonts w:ascii="仿宋_GB2312" w:hAnsi="仿宋_GB2312" w:eastAsia="仿宋_GB2312" w:cs="仿宋_GB2312"/>
          <w:sz w:val="32"/>
          <w:szCs w:val="32"/>
        </w:rPr>
        <w:t>457.74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七、政府性基金预算收支情况说明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年没有政府性基金预算拨款安排的收入和支出。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八、“三公”经费支出预算情况说明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年“三公”经费预算为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年相比一致。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九、其他重要事项的情况说明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（一</w:t>
      </w:r>
      <w:r>
        <w:rPr>
          <w:rFonts w:ascii="楷体" w:hAnsi="楷体" w:eastAsia="楷体" w:cs="楷体"/>
          <w:sz w:val="32"/>
          <w:szCs w:val="32"/>
        </w:rPr>
        <w:t>)</w:t>
      </w:r>
      <w:r>
        <w:rPr>
          <w:rFonts w:hint="eastAsia" w:ascii="楷体" w:hAnsi="楷体" w:eastAsia="楷体" w:cs="楷体"/>
          <w:sz w:val="32"/>
          <w:szCs w:val="32"/>
        </w:rPr>
        <w:t>机关运行经费支出情况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年机关运行经费支出预算为</w:t>
      </w:r>
      <w:r>
        <w:rPr>
          <w:rFonts w:ascii="仿宋_GB2312" w:hAnsi="仿宋_GB2312" w:eastAsia="仿宋_GB2312" w:cs="仿宋_GB2312"/>
          <w:sz w:val="32"/>
          <w:szCs w:val="32"/>
        </w:rPr>
        <w:t>51.5367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万元，主要保障机构正常运转及正常履职需要。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ascii="楷体" w:hAnsi="楷体" w:eastAsia="楷体" w:cs="楷体"/>
          <w:sz w:val="32"/>
          <w:szCs w:val="32"/>
        </w:rPr>
        <w:t>)</w:t>
      </w:r>
      <w:r>
        <w:rPr>
          <w:rFonts w:hint="eastAsia" w:ascii="楷体" w:hAnsi="楷体" w:eastAsia="楷体" w:cs="楷体"/>
          <w:sz w:val="32"/>
          <w:szCs w:val="32"/>
        </w:rPr>
        <w:t>政府采购支出情况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我单位未安排采购支出预算，如需采购，严格按照政府采购要求，遵循计划申请、协议供货、验收结算等流程办理。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楷体" w:hAnsi="楷体" w:eastAsia="楷体" w:cs="楷体"/>
          <w:sz w:val="32"/>
          <w:szCs w:val="32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三</w:t>
      </w:r>
      <w:r>
        <w:rPr>
          <w:rFonts w:ascii="楷体" w:hAnsi="楷体" w:eastAsia="楷体" w:cs="楷体"/>
          <w:sz w:val="32"/>
          <w:szCs w:val="32"/>
        </w:rPr>
        <w:t>)</w:t>
      </w:r>
      <w:r>
        <w:rPr>
          <w:rFonts w:hint="eastAsia" w:ascii="楷体" w:hAnsi="楷体" w:eastAsia="楷体" w:cs="楷体"/>
          <w:sz w:val="32"/>
          <w:szCs w:val="32"/>
        </w:rPr>
        <w:t>关于预算绩效管理工作开展情况说明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因技术等多方面原因，暂未开展预算绩效管理工作。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（四）国有资产占用情况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年期末，我局共有车辆</w:t>
      </w:r>
      <w:r>
        <w:rPr>
          <w:rFonts w:ascii="仿宋_GB2312" w:hAnsi="仿宋_GB2312" w:eastAsia="仿宋_GB2312" w:cs="仿宋_GB2312"/>
          <w:sz w:val="32"/>
          <w:szCs w:val="32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辆，用于城市管理工作，其中：一般公务用车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万元以上通用设备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套，单位价值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套。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（五）专项转移支付项目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我局负责参与管理的专项转移支付项目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名词解释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一、财政拨款收入：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是指市级财政当年拨付的资金。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二、其他收入：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是指部门取得的除“财政拨款”、“事业收入”、“事业单位经营收入”等以外的收入。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三、基本支出：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是指在基本支出之外，为完成特定的行政工作任务或事业发展目标所发生的支出。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五、“三公”经费：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是指纳入市级财政预算管理，部门使用财政拨款安排的因公出国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境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费、公务用车购置及运行费和公务接待费。其中，因公出国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境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费反映单位公务出国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境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的住宿费、旅费、伙食补助费、杂费、培训费等支出</w:t>
      </w:r>
      <w:r>
        <w:rPr>
          <w:rFonts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公务用车购置及运行费反映单位公务用车购置费及租用费、燃料费、维修费、过路过桥费、保险费、安全奖励费用等支出</w:t>
      </w:r>
      <w:r>
        <w:rPr>
          <w:rFonts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公务接待费反映单位按规定开支的各类公务接待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含外宾接待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六、机关运行经费：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是指为保障行政单位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含参照公务员法管理的事业单位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3F1"/>
    <w:rsid w:val="00064DE4"/>
    <w:rsid w:val="00090B75"/>
    <w:rsid w:val="000D6792"/>
    <w:rsid w:val="002B38B9"/>
    <w:rsid w:val="002E5F2E"/>
    <w:rsid w:val="0030349C"/>
    <w:rsid w:val="003376F0"/>
    <w:rsid w:val="00380B1A"/>
    <w:rsid w:val="00392074"/>
    <w:rsid w:val="003C43F1"/>
    <w:rsid w:val="004440A9"/>
    <w:rsid w:val="004540FA"/>
    <w:rsid w:val="004E0104"/>
    <w:rsid w:val="0053483F"/>
    <w:rsid w:val="0059317E"/>
    <w:rsid w:val="00626131"/>
    <w:rsid w:val="00653023"/>
    <w:rsid w:val="006C730F"/>
    <w:rsid w:val="006F7619"/>
    <w:rsid w:val="00727039"/>
    <w:rsid w:val="00737E23"/>
    <w:rsid w:val="00875CDE"/>
    <w:rsid w:val="009002D9"/>
    <w:rsid w:val="00930EA8"/>
    <w:rsid w:val="009B3CFC"/>
    <w:rsid w:val="00AA5113"/>
    <w:rsid w:val="00AB3649"/>
    <w:rsid w:val="00AE5EB2"/>
    <w:rsid w:val="00B1038D"/>
    <w:rsid w:val="00B25C3C"/>
    <w:rsid w:val="00B47532"/>
    <w:rsid w:val="00C131C9"/>
    <w:rsid w:val="00C33832"/>
    <w:rsid w:val="00CF6FE8"/>
    <w:rsid w:val="00D02546"/>
    <w:rsid w:val="00D4538D"/>
    <w:rsid w:val="00D54887"/>
    <w:rsid w:val="00D90F81"/>
    <w:rsid w:val="00D93D4A"/>
    <w:rsid w:val="00EA61CC"/>
    <w:rsid w:val="00FC7742"/>
    <w:rsid w:val="09552FE9"/>
    <w:rsid w:val="11BB4A76"/>
    <w:rsid w:val="204C063B"/>
    <w:rsid w:val="20F47AD8"/>
    <w:rsid w:val="23C263DD"/>
    <w:rsid w:val="24DA5679"/>
    <w:rsid w:val="29F005CF"/>
    <w:rsid w:val="4A207158"/>
    <w:rsid w:val="4F2873B9"/>
    <w:rsid w:val="5627656D"/>
    <w:rsid w:val="5FA93D11"/>
    <w:rsid w:val="679F3CD8"/>
    <w:rsid w:val="6DDE20BA"/>
    <w:rsid w:val="783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Plain Text Char"/>
    <w:basedOn w:val="5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452</Words>
  <Characters>2580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2020-05-25T07:13:00Z</dcterms:created>
  <dc:creator>Administrator</dc:creator>
  <cp:lastModifiedBy>高先生</cp:lastModifiedBy>
  <cp:lastPrinted>2020-05-21T00:14:00Z</cp:lastPrinted>
  <dcterms:modified xsi:type="dcterms:W3CDTF">2020-12-02T01:13:42Z</dcterms:modified>
  <dc:title>2020年度西平县城市管理局部门预算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