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widowControl/>
        <w:spacing w:line="240" w:lineRule="auto"/>
        <w:contextualSpacing/>
        <w:jc w:val="right"/>
        <w:rPr>
          <w:rFonts w:hint="default" w:hAnsi="黑体" w:cs="黑体"/>
          <w:bCs/>
          <w:sz w:val="28"/>
          <w:szCs w:val="28"/>
        </w:rPr>
      </w:pPr>
    </w:p>
    <w:p>
      <w:pPr>
        <w:pStyle w:val="14"/>
        <w:widowControl/>
        <w:spacing w:line="240" w:lineRule="auto"/>
        <w:contextualSpacing/>
        <w:jc w:val="right"/>
        <w:rPr>
          <w:rFonts w:hint="default" w:hAnsi="黑体" w:cs="黑体"/>
          <w:szCs w:val="52"/>
        </w:rPr>
      </w:pPr>
      <w:r>
        <w:rPr>
          <w:rFonts w:hAnsi="黑体" w:cs="黑体"/>
          <w:bCs/>
          <w:sz w:val="28"/>
          <w:szCs w:val="28"/>
        </w:rPr>
        <w:t>FWZN-005967704XK24734003</w:t>
      </w:r>
    </w:p>
    <w:p>
      <w:pPr>
        <w:pStyle w:val="14"/>
        <w:widowControl/>
        <w:spacing w:line="240" w:lineRule="auto"/>
        <w:contextualSpacing/>
        <w:jc w:val="both"/>
        <w:rPr>
          <w:rFonts w:hint="default" w:hAnsi="黑体" w:cs="黑体"/>
          <w:szCs w:val="52"/>
        </w:rPr>
      </w:pPr>
    </w:p>
    <w:p>
      <w:pPr>
        <w:pStyle w:val="14"/>
        <w:widowControl/>
        <w:spacing w:line="240" w:lineRule="auto"/>
        <w:contextualSpacing/>
        <w:jc w:val="both"/>
        <w:rPr>
          <w:rFonts w:hint="default" w:hAnsi="黑体" w:cs="黑体"/>
          <w:szCs w:val="52"/>
        </w:rPr>
      </w:pPr>
    </w:p>
    <w:p>
      <w:pPr>
        <w:pStyle w:val="14"/>
        <w:widowControl/>
        <w:spacing w:line="240" w:lineRule="auto"/>
        <w:contextualSpacing/>
        <w:rPr>
          <w:rFonts w:hint="default" w:hAnsi="黑体" w:cs="黑体"/>
          <w:szCs w:val="52"/>
        </w:rPr>
      </w:pPr>
      <w:r>
        <w:rPr>
          <w:rFonts w:hAnsi="黑体" w:cs="黑体"/>
          <w:szCs w:val="52"/>
        </w:rPr>
        <w:t>食品（含保健食品）经营许可变更许可事项服务指南</w:t>
      </w:r>
    </w:p>
    <w:p>
      <w:pPr>
        <w:pStyle w:val="14"/>
        <w:widowControl/>
        <w:spacing w:line="240" w:lineRule="auto"/>
        <w:contextualSpacing/>
        <w:rPr>
          <w:rFonts w:hint="default" w:ascii="方正小标宋简体" w:hAnsi="楷体" w:eastAsia="方正小标宋简体"/>
          <w:szCs w:val="52"/>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r>
        <w:rPr>
          <w:rFonts w:hint="eastAsia" w:ascii="黑体" w:hAnsi="黑体" w:eastAsia="黑体" w:cs="黑体"/>
          <w:kern w:val="0"/>
          <w:sz w:val="28"/>
          <w:szCs w:val="28"/>
          <w:u w:val="thick"/>
        </w:rPr>
        <w:t>2020年</w:t>
      </w:r>
      <w:r>
        <w:rPr>
          <w:rFonts w:hint="eastAsia" w:ascii="黑体" w:hAnsi="黑体" w:eastAsia="黑体" w:cs="黑体"/>
          <w:kern w:val="0"/>
          <w:sz w:val="28"/>
          <w:szCs w:val="28"/>
          <w:u w:val="thick"/>
          <w:lang w:val="en-US" w:eastAsia="zh-CN"/>
        </w:rPr>
        <w:t>10</w:t>
      </w:r>
      <w:r>
        <w:rPr>
          <w:rFonts w:hint="eastAsia" w:ascii="黑体" w:hAnsi="黑体" w:eastAsia="黑体" w:cs="黑体"/>
          <w:kern w:val="0"/>
          <w:sz w:val="28"/>
          <w:szCs w:val="28"/>
          <w:u w:val="thick"/>
        </w:rPr>
        <w:t>月26日发布                             2020年</w:t>
      </w:r>
      <w:r>
        <w:rPr>
          <w:rFonts w:hint="eastAsia" w:ascii="黑体" w:hAnsi="黑体" w:eastAsia="黑体" w:cs="黑体"/>
          <w:kern w:val="0"/>
          <w:sz w:val="28"/>
          <w:szCs w:val="28"/>
          <w:u w:val="thick"/>
          <w:lang w:val="en-US" w:eastAsia="zh-CN"/>
        </w:rPr>
        <w:t>10</w:t>
      </w:r>
      <w:bookmarkStart w:id="0" w:name="_GoBack"/>
      <w:bookmarkEnd w:id="0"/>
      <w:r>
        <w:rPr>
          <w:rFonts w:hint="eastAsia" w:ascii="黑体" w:hAnsi="黑体" w:eastAsia="黑体" w:cs="黑体"/>
          <w:kern w:val="0"/>
          <w:sz w:val="28"/>
          <w:szCs w:val="28"/>
          <w:u w:val="thick"/>
        </w:rPr>
        <w:t>月26日实施</w:t>
      </w:r>
    </w:p>
    <w:p>
      <w:pPr>
        <w:pStyle w:val="14"/>
        <w:widowControl/>
        <w:spacing w:line="240" w:lineRule="auto"/>
        <w:contextualSpacing/>
        <w:rPr>
          <w:rFonts w:hint="default" w:hAnsi="黑体" w:cs="黑体"/>
          <w:bCs/>
          <w:sz w:val="28"/>
          <w:szCs w:val="28"/>
        </w:rPr>
      </w:pPr>
      <w:r>
        <w:rPr>
          <w:rFonts w:hAnsi="黑体" w:cs="黑体"/>
          <w:b/>
          <w:bCs/>
          <w:sz w:val="28"/>
          <w:szCs w:val="28"/>
        </w:rPr>
        <w:t>西平县市场监督管理局 发布</w:t>
      </w:r>
    </w:p>
    <w:tbl>
      <w:tblPr>
        <w:tblStyle w:val="5"/>
        <w:tblW w:w="9513" w:type="dxa"/>
        <w:tblInd w:w="93" w:type="dxa"/>
        <w:tblLayout w:type="fixed"/>
        <w:tblCellMar>
          <w:top w:w="0" w:type="dxa"/>
          <w:left w:w="108" w:type="dxa"/>
          <w:bottom w:w="0" w:type="dxa"/>
          <w:right w:w="108" w:type="dxa"/>
        </w:tblCellMar>
      </w:tblPr>
      <w:tblGrid>
        <w:gridCol w:w="1716"/>
        <w:gridCol w:w="3261"/>
        <w:gridCol w:w="1417"/>
        <w:gridCol w:w="3119"/>
      </w:tblGrid>
      <w:tr>
        <w:tblPrEx>
          <w:tblCellMar>
            <w:top w:w="0" w:type="dxa"/>
            <w:left w:w="108" w:type="dxa"/>
            <w:bottom w:w="0" w:type="dxa"/>
            <w:right w:w="108" w:type="dxa"/>
          </w:tblCellMar>
        </w:tblPrEx>
        <w:trPr>
          <w:trHeight w:val="735" w:hRule="atLeast"/>
        </w:trPr>
        <w:tc>
          <w:tcPr>
            <w:tcW w:w="9513" w:type="dxa"/>
            <w:gridSpan w:val="4"/>
            <w:tcBorders>
              <w:top w:val="nil"/>
              <w:left w:val="nil"/>
              <w:bottom w:val="nil"/>
              <w:right w:val="nil"/>
            </w:tcBorders>
            <w:shd w:val="clear" w:color="auto" w:fill="auto"/>
            <w:noWrap/>
            <w:vAlign w:val="center"/>
          </w:tcPr>
          <w:p>
            <w:pPr>
              <w:widowControl/>
              <w:textAlignment w:val="top"/>
              <w:rPr>
                <w:rFonts w:ascii="黑体" w:hAnsi="黑体" w:eastAsia="黑体" w:cs="宋体"/>
                <w:b/>
                <w:bCs/>
                <w:color w:val="000000"/>
                <w:kern w:val="0"/>
                <w:sz w:val="22"/>
                <w:szCs w:val="24"/>
              </w:rPr>
            </w:pPr>
          </w:p>
          <w:p>
            <w:pPr>
              <w:widowControl/>
              <w:jc w:val="center"/>
              <w:textAlignment w:val="top"/>
              <w:rPr>
                <w:rFonts w:ascii="黑体" w:hAnsi="黑体" w:eastAsia="黑体" w:cs="宋体"/>
                <w:b/>
                <w:bCs/>
                <w:color w:val="000000"/>
                <w:kern w:val="0"/>
                <w:sz w:val="22"/>
                <w:szCs w:val="24"/>
              </w:rPr>
            </w:pPr>
            <w:r>
              <w:rPr>
                <w:rFonts w:hint="eastAsia" w:ascii="黑体" w:hAnsi="黑体" w:eastAsia="黑体" w:cs="宋体"/>
                <w:b/>
                <w:bCs/>
                <w:color w:val="000000"/>
                <w:kern w:val="0"/>
                <w:sz w:val="28"/>
                <w:szCs w:val="24"/>
              </w:rPr>
              <w:t>食品（含保健食品）经营许可变更许可事项服务指南</w:t>
            </w:r>
          </w:p>
        </w:tc>
      </w:tr>
      <w:tr>
        <w:tblPrEx>
          <w:tblCellMar>
            <w:top w:w="0" w:type="dxa"/>
            <w:left w:w="108" w:type="dxa"/>
            <w:bottom w:w="0" w:type="dxa"/>
            <w:right w:w="108" w:type="dxa"/>
          </w:tblCellMar>
        </w:tblPrEx>
        <w:trPr>
          <w:trHeight w:val="330" w:hRule="atLeast"/>
        </w:trPr>
        <w:tc>
          <w:tcPr>
            <w:tcW w:w="1716"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事项类型</w:t>
            </w:r>
          </w:p>
        </w:tc>
        <w:tc>
          <w:tcPr>
            <w:tcW w:w="3261" w:type="dxa"/>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行政许可</w:t>
            </w:r>
          </w:p>
        </w:tc>
        <w:tc>
          <w:tcPr>
            <w:tcW w:w="1417" w:type="dxa"/>
            <w:tcBorders>
              <w:top w:val="single" w:color="auto" w:sz="4" w:space="0"/>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办件类型</w:t>
            </w:r>
          </w:p>
        </w:tc>
        <w:tc>
          <w:tcPr>
            <w:tcW w:w="3119" w:type="dxa"/>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承诺件</w:t>
            </w:r>
          </w:p>
        </w:tc>
      </w:tr>
      <w:tr>
        <w:tblPrEx>
          <w:tblCellMar>
            <w:top w:w="0" w:type="dxa"/>
            <w:left w:w="108" w:type="dxa"/>
            <w:bottom w:w="0" w:type="dxa"/>
            <w:right w:w="108" w:type="dxa"/>
          </w:tblCellMar>
        </w:tblPrEx>
        <w:trPr>
          <w:trHeight w:val="474"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实施主体</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县市场监督管理局</w:t>
            </w:r>
          </w:p>
        </w:tc>
        <w:tc>
          <w:tcPr>
            <w:tcW w:w="14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实施主体性质</w:t>
            </w:r>
          </w:p>
        </w:tc>
        <w:tc>
          <w:tcPr>
            <w:tcW w:w="3119"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法定机关</w:t>
            </w:r>
          </w:p>
        </w:tc>
      </w:tr>
      <w:tr>
        <w:tblPrEx>
          <w:tblCellMar>
            <w:top w:w="0" w:type="dxa"/>
            <w:left w:w="108" w:type="dxa"/>
            <w:bottom w:w="0" w:type="dxa"/>
            <w:right w:w="108" w:type="dxa"/>
          </w:tblCellMar>
        </w:tblPrEx>
        <w:trPr>
          <w:trHeight w:val="33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行使层级</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县级</w:t>
            </w:r>
          </w:p>
        </w:tc>
        <w:tc>
          <w:tcPr>
            <w:tcW w:w="14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服务对象</w:t>
            </w:r>
          </w:p>
        </w:tc>
        <w:tc>
          <w:tcPr>
            <w:tcW w:w="3119" w:type="dxa"/>
            <w:tcBorders>
              <w:top w:val="nil"/>
              <w:left w:val="nil"/>
              <w:bottom w:val="single" w:color="auto" w:sz="4" w:space="0"/>
              <w:right w:val="single" w:color="auto" w:sz="4" w:space="0"/>
            </w:tcBorders>
            <w:shd w:val="clear" w:color="000000" w:fill="FFFFFF"/>
            <w:vAlign w:val="center"/>
          </w:tcPr>
          <w:p>
            <w:pPr>
              <w:widowControl/>
              <w:jc w:val="left"/>
              <w:textAlignment w:val="center"/>
              <w:rPr>
                <w:rFonts w:ascii="微软雅黑" w:hAnsi="微软雅黑" w:eastAsia="微软雅黑" w:cs="微软雅黑"/>
                <w:color w:val="333333"/>
                <w:sz w:val="22"/>
              </w:rPr>
            </w:pPr>
            <w:r>
              <w:rPr>
                <w:rFonts w:hint="eastAsia" w:ascii="黑体" w:hAnsi="黑体" w:eastAsia="黑体" w:cs="宋体"/>
                <w:color w:val="333333"/>
                <w:kern w:val="0"/>
              </w:rPr>
              <w:t>个人、法人</w:t>
            </w:r>
          </w:p>
        </w:tc>
      </w:tr>
      <w:tr>
        <w:tblPrEx>
          <w:tblCellMar>
            <w:top w:w="0" w:type="dxa"/>
            <w:left w:w="108" w:type="dxa"/>
            <w:bottom w:w="0" w:type="dxa"/>
            <w:right w:w="108" w:type="dxa"/>
          </w:tblCellMar>
        </w:tblPrEx>
        <w:trPr>
          <w:trHeight w:val="33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许可数量</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无限制</w:t>
            </w:r>
          </w:p>
        </w:tc>
        <w:tc>
          <w:tcPr>
            <w:tcW w:w="14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是否涉及中介</w:t>
            </w:r>
          </w:p>
        </w:tc>
        <w:tc>
          <w:tcPr>
            <w:tcW w:w="3119"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否</w:t>
            </w:r>
          </w:p>
        </w:tc>
      </w:tr>
      <w:tr>
        <w:tblPrEx>
          <w:tblCellMar>
            <w:top w:w="0" w:type="dxa"/>
            <w:left w:w="108" w:type="dxa"/>
            <w:bottom w:w="0" w:type="dxa"/>
            <w:right w:w="108" w:type="dxa"/>
          </w:tblCellMar>
        </w:tblPrEx>
        <w:trPr>
          <w:trHeight w:val="66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法定办结时限</w:t>
            </w:r>
            <w:r>
              <w:rPr>
                <w:rFonts w:hint="eastAsia" w:ascii="黑体" w:hAnsi="黑体" w:eastAsia="黑体" w:cs="宋体"/>
                <w:color w:val="333333"/>
                <w:kern w:val="0"/>
                <w:sz w:val="18"/>
                <w:szCs w:val="20"/>
              </w:rPr>
              <w:t>（工作日）</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20</w:t>
            </w:r>
          </w:p>
        </w:tc>
        <w:tc>
          <w:tcPr>
            <w:tcW w:w="14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承诺办结时限</w:t>
            </w:r>
            <w:r>
              <w:rPr>
                <w:rFonts w:hint="eastAsia" w:ascii="黑体" w:hAnsi="黑体" w:eastAsia="黑体" w:cs="宋体"/>
                <w:color w:val="333333"/>
                <w:kern w:val="0"/>
                <w:sz w:val="18"/>
                <w:szCs w:val="20"/>
              </w:rPr>
              <w:t>（工作日）</w:t>
            </w:r>
          </w:p>
        </w:tc>
        <w:tc>
          <w:tcPr>
            <w:tcW w:w="3119"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hint="eastAsia" w:ascii="黑体" w:hAnsi="黑体" w:eastAsia="黑体" w:cs="宋体"/>
                <w:color w:val="333333"/>
                <w:kern w:val="0"/>
                <w:lang w:eastAsia="zh-CN"/>
              </w:rPr>
            </w:pPr>
            <w:r>
              <w:rPr>
                <w:rFonts w:hint="eastAsia" w:ascii="黑体" w:hAnsi="黑体" w:eastAsia="黑体" w:cs="宋体"/>
                <w:color w:val="333333"/>
                <w:kern w:val="0"/>
                <w:lang w:val="en-US" w:eastAsia="zh-CN"/>
              </w:rPr>
              <w:t>6</w:t>
            </w:r>
          </w:p>
        </w:tc>
      </w:tr>
      <w:tr>
        <w:tblPrEx>
          <w:tblCellMar>
            <w:top w:w="0" w:type="dxa"/>
            <w:left w:w="108" w:type="dxa"/>
            <w:bottom w:w="0" w:type="dxa"/>
            <w:right w:w="108" w:type="dxa"/>
          </w:tblCellMar>
        </w:tblPrEx>
        <w:trPr>
          <w:trHeight w:val="605"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是否收费</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否</w:t>
            </w:r>
          </w:p>
        </w:tc>
        <w:tc>
          <w:tcPr>
            <w:tcW w:w="1417"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收费方式</w:t>
            </w:r>
          </w:p>
        </w:tc>
        <w:tc>
          <w:tcPr>
            <w:tcW w:w="3119"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不收费</w:t>
            </w:r>
          </w:p>
        </w:tc>
      </w:tr>
      <w:tr>
        <w:tblPrEx>
          <w:tblCellMar>
            <w:top w:w="0" w:type="dxa"/>
            <w:left w:w="108" w:type="dxa"/>
            <w:bottom w:w="0" w:type="dxa"/>
            <w:right w:w="108" w:type="dxa"/>
          </w:tblCellMar>
        </w:tblPrEx>
        <w:trPr>
          <w:trHeight w:val="556"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收费标准及依据</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不涉及收费</w:t>
            </w:r>
          </w:p>
        </w:tc>
      </w:tr>
      <w:tr>
        <w:tblPrEx>
          <w:tblCellMar>
            <w:top w:w="0" w:type="dxa"/>
            <w:left w:w="108" w:type="dxa"/>
            <w:bottom w:w="0" w:type="dxa"/>
            <w:right w:w="108" w:type="dxa"/>
          </w:tblCellMar>
        </w:tblPrEx>
        <w:trPr>
          <w:trHeight w:val="1365"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申请条件</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食品经营许可证载明的许可事项发生变化的，食品经营者应当在变化后10个工作日内向原发证的食品药品监督管理部门申请变更经营许可。《食品经营许可管理办法》第二十八条　申请变更食品经营许可的，应当提交下列申请材料：　　（一）食品经营许可变更申请书；　　（二）食品经营许可证正本、副本；　　（三）与变更食品经营许可事项有关的其他材料。</w:t>
            </w:r>
          </w:p>
        </w:tc>
      </w:tr>
      <w:tr>
        <w:tblPrEx>
          <w:tblCellMar>
            <w:top w:w="0" w:type="dxa"/>
            <w:left w:w="108" w:type="dxa"/>
            <w:bottom w:w="0" w:type="dxa"/>
            <w:right w:w="108" w:type="dxa"/>
          </w:tblCellMar>
        </w:tblPrEx>
        <w:trPr>
          <w:trHeight w:val="33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行使内容</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县级以上市场监督管理部门应对申请人提交的申请材料进行审查，需要对申请材料的实质内容进行核实，并进行现场检查。</w:t>
            </w:r>
          </w:p>
        </w:tc>
      </w:tr>
      <w:tr>
        <w:tblPrEx>
          <w:tblCellMar>
            <w:top w:w="0" w:type="dxa"/>
            <w:left w:w="108" w:type="dxa"/>
            <w:bottom w:w="0" w:type="dxa"/>
            <w:right w:w="108" w:type="dxa"/>
          </w:tblCellMar>
        </w:tblPrEx>
        <w:trPr>
          <w:trHeight w:val="737"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法定办结时限说明</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法定时间不包含听证、招标、拍卖、检验、检测、检疫、鉴定和专家评审、现场勘查、补件、上报（转报）等步骤所需要的时间。</w:t>
            </w:r>
          </w:p>
        </w:tc>
      </w:tr>
      <w:tr>
        <w:tblPrEx>
          <w:tblCellMar>
            <w:top w:w="0" w:type="dxa"/>
            <w:left w:w="108" w:type="dxa"/>
            <w:bottom w:w="0" w:type="dxa"/>
            <w:right w:w="108" w:type="dxa"/>
          </w:tblCellMar>
        </w:tblPrEx>
        <w:trPr>
          <w:trHeight w:val="1047"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承诺办结时限说明</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承诺时间不包含听证、招标、拍卖、检验、检测、检疫、鉴定和专家评审、现场勘查、补件、上报（转报）等步骤所需要的时间。</w:t>
            </w:r>
          </w:p>
        </w:tc>
      </w:tr>
      <w:tr>
        <w:tblPrEx>
          <w:tblCellMar>
            <w:top w:w="0" w:type="dxa"/>
            <w:left w:w="108" w:type="dxa"/>
            <w:bottom w:w="0" w:type="dxa"/>
            <w:right w:w="108" w:type="dxa"/>
          </w:tblCellMar>
        </w:tblPrEx>
        <w:trPr>
          <w:trHeight w:val="66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办理结果类型</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证照</w:t>
            </w:r>
          </w:p>
        </w:tc>
        <w:tc>
          <w:tcPr>
            <w:tcW w:w="14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sz w:val="16"/>
                <w:szCs w:val="18"/>
              </w:rPr>
            </w:pPr>
            <w:r>
              <w:rPr>
                <w:rFonts w:hint="eastAsia" w:ascii="黑体" w:hAnsi="黑体" w:eastAsia="黑体" w:cs="宋体"/>
                <w:color w:val="333333"/>
                <w:kern w:val="0"/>
              </w:rPr>
              <w:t>办理结果领取方式</w:t>
            </w:r>
          </w:p>
        </w:tc>
        <w:tc>
          <w:tcPr>
            <w:tcW w:w="3119"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宋体" w:hAnsi="宋体" w:eastAsia="宋体"/>
                <w:color w:val="000000" w:themeColor="text1"/>
                <w:sz w:val="23"/>
                <w:szCs w:val="23"/>
              </w:rPr>
              <w:t>申请对象窗口领取或邮递送达结果</w:t>
            </w:r>
          </w:p>
        </w:tc>
      </w:tr>
      <w:tr>
        <w:tblPrEx>
          <w:tblCellMar>
            <w:top w:w="0" w:type="dxa"/>
            <w:left w:w="108" w:type="dxa"/>
            <w:bottom w:w="0" w:type="dxa"/>
            <w:right w:w="108" w:type="dxa"/>
          </w:tblCellMar>
        </w:tblPrEx>
        <w:trPr>
          <w:trHeight w:val="66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办理结果获取说明</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申请人需携带有效身份证件领取</w:t>
            </w:r>
          </w:p>
        </w:tc>
      </w:tr>
      <w:tr>
        <w:tblPrEx>
          <w:tblCellMar>
            <w:top w:w="0" w:type="dxa"/>
            <w:left w:w="108" w:type="dxa"/>
            <w:bottom w:w="0" w:type="dxa"/>
            <w:right w:w="108" w:type="dxa"/>
          </w:tblCellMar>
        </w:tblPrEx>
        <w:trPr>
          <w:trHeight w:val="521"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办理形式</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窗口办理；网上办理</w:t>
            </w:r>
          </w:p>
        </w:tc>
        <w:tc>
          <w:tcPr>
            <w:tcW w:w="1417" w:type="dxa"/>
            <w:tcBorders>
              <w:top w:val="nil"/>
              <w:left w:val="nil"/>
              <w:bottom w:val="single" w:color="auto" w:sz="4" w:space="0"/>
              <w:right w:val="single" w:color="auto" w:sz="4" w:space="0"/>
            </w:tcBorders>
            <w:shd w:val="clear" w:color="auto" w:fill="auto"/>
            <w:noWrap/>
            <w:vAlign w:val="center"/>
          </w:tcPr>
          <w:p>
            <w:pPr>
              <w:widowControl/>
              <w:jc w:val="left"/>
              <w:textAlignment w:val="top"/>
              <w:rPr>
                <w:rFonts w:ascii="黑体" w:hAnsi="黑体" w:eastAsia="黑体" w:cs="宋体"/>
                <w:color w:val="000000"/>
                <w:kern w:val="0"/>
              </w:rPr>
            </w:pPr>
            <w:r>
              <w:rPr>
                <w:rFonts w:hint="eastAsia" w:ascii="黑体" w:hAnsi="黑体" w:eastAsia="黑体" w:cs="宋体"/>
                <w:color w:val="333333"/>
                <w:kern w:val="0"/>
              </w:rPr>
              <w:t>通办范围</w:t>
            </w:r>
          </w:p>
        </w:tc>
        <w:tc>
          <w:tcPr>
            <w:tcW w:w="3119" w:type="dxa"/>
            <w:tcBorders>
              <w:top w:val="nil"/>
              <w:left w:val="nil"/>
              <w:bottom w:val="single" w:color="auto" w:sz="4" w:space="0"/>
              <w:right w:val="single" w:color="auto" w:sz="4" w:space="0"/>
            </w:tcBorders>
            <w:shd w:val="clear" w:color="auto" w:fill="auto"/>
            <w:noWrap/>
            <w:vAlign w:val="center"/>
          </w:tcPr>
          <w:p>
            <w:pPr>
              <w:widowControl/>
              <w:jc w:val="left"/>
              <w:textAlignment w:val="top"/>
              <w:rPr>
                <w:rFonts w:ascii="黑体" w:hAnsi="黑体" w:eastAsia="黑体" w:cs="宋体"/>
                <w:color w:val="000000"/>
                <w:kern w:val="0"/>
              </w:rPr>
            </w:pPr>
            <w:r>
              <w:rPr>
                <w:rFonts w:hint="eastAsia" w:ascii="黑体" w:hAnsi="黑体" w:eastAsia="黑体" w:cs="宋体"/>
                <w:color w:val="333333"/>
                <w:kern w:val="0"/>
              </w:rPr>
              <w:t>全县</w:t>
            </w:r>
          </w:p>
        </w:tc>
      </w:tr>
      <w:tr>
        <w:tblPrEx>
          <w:tblCellMar>
            <w:top w:w="0" w:type="dxa"/>
            <w:left w:w="108" w:type="dxa"/>
            <w:bottom w:w="0" w:type="dxa"/>
            <w:right w:w="108" w:type="dxa"/>
          </w:tblCellMar>
        </w:tblPrEx>
        <w:trPr>
          <w:trHeight w:val="699"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监督投诉电话</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一、固话投诉:0396-6263392 短号:0396-12345 二、网上投诉地址：1、河南省政务服务网上投诉平台:http://was.hnzwfw.gov.cn/evaluation-web/userAuthent/getUserAuthent.do?flag=42、 河南省信访局网上投诉平台:http://wsxfdt.xfj.henan.gov.cn:8080/zfp/webroot/index.html3、 河南省纪委网上投诉平台:http://henan.12388.gov.cn/</w:t>
            </w:r>
          </w:p>
        </w:tc>
        <w:tc>
          <w:tcPr>
            <w:tcW w:w="14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咨询地电话</w:t>
            </w:r>
          </w:p>
        </w:tc>
        <w:tc>
          <w:tcPr>
            <w:tcW w:w="3119"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一、固话咨询:0396-6117118 二、网上咨询地址：http://was.hnzwfw.gov.cn/evaluation-web/userAuthent/getUserAuthent.do?flag=3</w:t>
            </w:r>
          </w:p>
        </w:tc>
      </w:tr>
      <w:tr>
        <w:tblPrEx>
          <w:tblCellMar>
            <w:top w:w="0" w:type="dxa"/>
            <w:left w:w="108" w:type="dxa"/>
            <w:bottom w:w="0" w:type="dxa"/>
            <w:right w:w="108" w:type="dxa"/>
          </w:tblCellMar>
        </w:tblPrEx>
        <w:trPr>
          <w:trHeight w:val="42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最多到办事现场次数</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1</w:t>
            </w:r>
          </w:p>
        </w:tc>
      </w:tr>
      <w:tr>
        <w:tblPrEx>
          <w:tblCellMar>
            <w:top w:w="0" w:type="dxa"/>
            <w:left w:w="108" w:type="dxa"/>
            <w:bottom w:w="0" w:type="dxa"/>
            <w:right w:w="108" w:type="dxa"/>
          </w:tblCellMar>
        </w:tblPrEx>
        <w:trPr>
          <w:trHeight w:val="93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办公时间</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周一至周五， 法定节假日除外 。 夏季：上午08:00-12:00 下午 15:00-18:00； 冬季：上午08:00-12:00 下午 14:30-17:30。</w:t>
            </w:r>
          </w:p>
        </w:tc>
      </w:tr>
      <w:tr>
        <w:tblPrEx>
          <w:tblCellMar>
            <w:top w:w="0" w:type="dxa"/>
            <w:left w:w="108" w:type="dxa"/>
            <w:bottom w:w="0" w:type="dxa"/>
            <w:right w:w="108" w:type="dxa"/>
          </w:tblCellMar>
        </w:tblPrEx>
        <w:trPr>
          <w:trHeight w:val="855"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办理地点</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 xml:space="preserve">西平县护城河南路街道9号2楼市场监管局（窗口） </w:t>
            </w:r>
          </w:p>
        </w:tc>
      </w:tr>
      <w:tr>
        <w:tblPrEx>
          <w:tblCellMar>
            <w:top w:w="0" w:type="dxa"/>
            <w:left w:w="108" w:type="dxa"/>
            <w:bottom w:w="0" w:type="dxa"/>
            <w:right w:w="108" w:type="dxa"/>
          </w:tblCellMar>
        </w:tblPrEx>
        <w:trPr>
          <w:trHeight w:val="855"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交通指引</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 xml:space="preserve">西平县护城河路南段 乘坐102路公交车到行政服务中心下车 </w:t>
            </w:r>
          </w:p>
        </w:tc>
      </w:tr>
      <w:tr>
        <w:tblPrEx>
          <w:tblCellMar>
            <w:top w:w="0" w:type="dxa"/>
            <w:left w:w="108" w:type="dxa"/>
            <w:bottom w:w="0" w:type="dxa"/>
            <w:right w:w="108" w:type="dxa"/>
          </w:tblCellMar>
        </w:tblPrEx>
        <w:trPr>
          <w:trHeight w:val="885"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办理查询</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申请人可通过电话、河南政务服务网、河南政务服务网手机APP客户端、政务服务大厅窗口等方式查询该事项的办理进程</w:t>
            </w:r>
          </w:p>
        </w:tc>
      </w:tr>
      <w:tr>
        <w:tblPrEx>
          <w:tblCellMar>
            <w:top w:w="0" w:type="dxa"/>
            <w:left w:w="108" w:type="dxa"/>
            <w:bottom w:w="0" w:type="dxa"/>
            <w:right w:w="108" w:type="dxa"/>
          </w:tblCellMar>
        </w:tblPrEx>
        <w:trPr>
          <w:trHeight w:val="1485"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办理流程</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环节名称：收件；办理人：政务服务大厅市场监管局窗口；办理时限：即收；审查标准：申请人通过河南政务服务网提交申请材料。或者前往西平县政务服务大厅市场监管局窗口进行办理</w:t>
            </w:r>
            <w:r>
              <w:rPr>
                <w:rFonts w:hint="default" w:ascii="黑体" w:hAnsi="黑体" w:eastAsia="黑体" w:cs="宋体"/>
                <w:color w:val="333333"/>
                <w:kern w:val="0"/>
              </w:rPr>
              <w:t>；</w:t>
            </w:r>
            <w:r>
              <w:rPr>
                <w:rFonts w:hint="default" w:ascii="黑体" w:hAnsi="黑体" w:eastAsia="黑体" w:cs="宋体"/>
                <w:color w:val="333333"/>
                <w:kern w:val="0"/>
              </w:rPr>
              <w:br w:type="textWrapping"/>
            </w:r>
            <w:r>
              <w:rPr>
                <w:rFonts w:hint="default" w:ascii="黑体" w:hAnsi="黑体" w:eastAsia="黑体" w:cs="宋体"/>
                <w:color w:val="333333"/>
                <w:kern w:val="0"/>
              </w:rPr>
              <w:t>环节名称：受理；办理人：政务服务大厅市场监管局窗口；审查标准：对申请材料进行初步审核，申请材料齐全且符合法定形式的应当当场受理；对申请材料不齐全不符合法定形式的，应当在5个工作日内一次性告知补正的全部材料；对于不属于本行政机关职权范围的，不予受理。；办理结果：1、材料齐全且符合法定形式的予以受理送达《受理通知书》；2、材料不齐全不符合法定形式的，送达《补正申请材料通知书》；3、不属于本行政机关职权范围的，送达《不予受理通知书》。；</w:t>
            </w:r>
            <w:r>
              <w:rPr>
                <w:rFonts w:hint="default" w:ascii="黑体" w:hAnsi="黑体" w:eastAsia="黑体" w:cs="宋体"/>
                <w:color w:val="333333"/>
                <w:kern w:val="0"/>
              </w:rPr>
              <w:br w:type="textWrapping"/>
            </w:r>
            <w:r>
              <w:rPr>
                <w:rFonts w:hint="default" w:ascii="黑体" w:hAnsi="黑体" w:eastAsia="黑体" w:cs="宋体"/>
                <w:color w:val="333333"/>
                <w:kern w:val="0"/>
              </w:rPr>
              <w:t>环节名称：审核；办理人：业务股室；审查标准：审查提交材料是否齐全，是否符合法定形式。申请人声明经营条件未发生变化的，不再进行现场核查。申请人的经营条件发生变化，可能影响食品安全的，应当就变化情况进行现场核查。；办理结果：对审核无误的作出批准决定；对审核不合格的，作出不予批准决定；</w:t>
            </w:r>
            <w:r>
              <w:rPr>
                <w:rFonts w:hint="default" w:ascii="黑体" w:hAnsi="黑体" w:eastAsia="黑体" w:cs="宋体"/>
                <w:color w:val="333333"/>
                <w:kern w:val="0"/>
              </w:rPr>
              <w:br w:type="textWrapping"/>
            </w:r>
            <w:r>
              <w:rPr>
                <w:rFonts w:hint="default" w:ascii="黑体" w:hAnsi="黑体" w:eastAsia="黑体" w:cs="宋体"/>
                <w:color w:val="333333"/>
                <w:kern w:val="0"/>
              </w:rPr>
              <w:t>环节名称：决定；办理人：业务股室；审查标准：再次核查相关信息是否正确，并作出决定；办理结果：作出批准决定，出具决定意见，并向社会公示。作出不予批准决定的，书面通知申请人。；</w:t>
            </w:r>
            <w:r>
              <w:rPr>
                <w:rFonts w:hint="default" w:ascii="黑体" w:hAnsi="黑体" w:eastAsia="黑体" w:cs="宋体"/>
                <w:color w:val="333333"/>
                <w:kern w:val="0"/>
              </w:rPr>
              <w:br w:type="textWrapping"/>
            </w:r>
            <w:r>
              <w:rPr>
                <w:rFonts w:hint="default" w:ascii="黑体" w:hAnsi="黑体" w:eastAsia="黑体" w:cs="宋体"/>
                <w:color w:val="333333"/>
                <w:kern w:val="0"/>
              </w:rPr>
              <w:t>环节名称：送达；办理人：政务服务大厅市场监管局窗口；办理结果：事项办理结果根据申请人要求在规定时限内通过快递送达或上门自取。</w:t>
            </w:r>
          </w:p>
        </w:tc>
      </w:tr>
    </w:tbl>
    <w:p>
      <w:pPr>
        <w:textAlignment w:val="top"/>
        <w:rPr>
          <w:rFonts w:ascii="黑体" w:hAnsi="黑体" w:eastAsia="黑体"/>
          <w:sz w:val="20"/>
        </w:rPr>
      </w:pPr>
    </w:p>
    <w:p>
      <w:pPr>
        <w:pStyle w:val="12"/>
        <w:numPr>
          <w:ilvl w:val="0"/>
          <w:numId w:val="1"/>
        </w:numPr>
        <w:ind w:firstLineChars="0"/>
        <w:textAlignment w:val="top"/>
        <w:rPr>
          <w:rFonts w:ascii="黑体" w:hAnsi="黑体" w:eastAsia="黑体"/>
        </w:rPr>
      </w:pPr>
      <w:r>
        <w:rPr>
          <w:rFonts w:hint="eastAsia" w:ascii="黑体" w:hAnsi="黑体" w:eastAsia="黑体"/>
        </w:rPr>
        <w:t>设立依据</w:t>
      </w:r>
    </w:p>
    <w:p>
      <w:pPr>
        <w:pStyle w:val="12"/>
        <w:ind w:left="420" w:leftChars="200" w:firstLine="315" w:firstLineChars="150"/>
        <w:textAlignment w:val="top"/>
        <w:rPr>
          <w:rFonts w:ascii="黑体" w:hAnsi="黑体" w:eastAsia="黑体"/>
        </w:rPr>
      </w:pPr>
      <w:r>
        <w:rPr>
          <w:rFonts w:hint="eastAsia" w:ascii="黑体" w:hAnsi="黑体" w:eastAsia="黑体"/>
        </w:rPr>
        <w:t>《中华人民共和国食品安全法》（2015年4月24日主席令第二十一号）第三十五条：国家对食品生产经营实行许可制度。从事食品生产、食品销售、餐饮服务，应当依法取得许可。但是，销售食用农产品，不需要取得许可。县级以上地方人民政府食品药品监督管理部门应当依照《中华人民共和国行政许可法》的规定，审核申请人提交的本法第三十三条第一款第一项至第四项规定要求的相关资料，必要时对申请人的生产经营场所进行现场核查；对符合规定条件的，准予许可；对不符合规定条件的，不予许可并书面说明理由。</w:t>
      </w:r>
    </w:p>
    <w:p>
      <w:pPr>
        <w:pStyle w:val="12"/>
        <w:ind w:left="420" w:leftChars="200" w:firstLine="315" w:firstLineChars="150"/>
        <w:textAlignment w:val="top"/>
        <w:rPr>
          <w:rFonts w:ascii="黑体" w:hAnsi="黑体" w:eastAsia="黑体"/>
        </w:rPr>
      </w:pPr>
      <w:r>
        <w:rPr>
          <w:rFonts w:hint="eastAsia" w:ascii="黑体" w:hAnsi="黑体" w:eastAsia="黑体"/>
        </w:rPr>
        <w:t>《食品经营许可管理办法》第27条：食品经营许可证载明的许可事项发生变化的，食品经营者应当在变化后十个工作日内向原发证的食品药品监督管理部门申请变更经营许可。经营场所发生变化的，应当重新申请食品经营许可。外设仓库地址发生变化的，食品经营者应当在变化后十个工作日内，向原发证的食品药品监督管理部门报告。</w:t>
      </w:r>
    </w:p>
    <w:p>
      <w:pPr>
        <w:pStyle w:val="12"/>
        <w:ind w:left="420" w:firstLine="0" w:firstLineChars="0"/>
        <w:textAlignment w:val="top"/>
        <w:rPr>
          <w:rFonts w:ascii="黑体" w:hAnsi="黑体" w:eastAsia="黑体"/>
        </w:rPr>
      </w:pPr>
    </w:p>
    <w:p>
      <w:pPr>
        <w:pStyle w:val="12"/>
        <w:ind w:left="420" w:firstLine="0" w:firstLineChars="0"/>
        <w:textAlignment w:val="top"/>
        <w:rPr>
          <w:rFonts w:ascii="黑体" w:hAnsi="黑体" w:eastAsia="黑体"/>
          <w:sz w:val="20"/>
        </w:rPr>
      </w:pPr>
    </w:p>
    <w:p>
      <w:pPr>
        <w:pStyle w:val="12"/>
        <w:numPr>
          <w:ilvl w:val="0"/>
          <w:numId w:val="1"/>
        </w:numPr>
        <w:ind w:firstLineChars="0"/>
        <w:textAlignment w:val="top"/>
        <w:rPr>
          <w:rFonts w:ascii="黑体" w:hAnsi="黑体" w:eastAsia="黑体"/>
          <w:sz w:val="20"/>
        </w:rPr>
      </w:pPr>
      <w:r>
        <w:rPr>
          <w:rFonts w:hint="eastAsia" w:ascii="黑体" w:hAnsi="黑体" w:eastAsia="黑体"/>
          <w:sz w:val="20"/>
        </w:rPr>
        <w:t>办理流程图</w:t>
      </w:r>
    </w:p>
    <w:p>
      <w:pPr>
        <w:textAlignment w:val="top"/>
        <w:rPr>
          <w:rFonts w:ascii="黑体" w:hAnsi="黑体" w:eastAsia="黑体"/>
          <w:sz w:val="20"/>
        </w:rPr>
      </w:pPr>
      <w:r>
        <w:rPr>
          <w:rFonts w:hint="eastAsia" w:ascii="黑体" w:hAnsi="黑体" w:eastAsia="黑体"/>
          <w:sz w:val="20"/>
        </w:rPr>
        <w:drawing>
          <wp:inline distT="0" distB="0" distL="114300" distR="114300">
            <wp:extent cx="5680710" cy="7889875"/>
            <wp:effectExtent l="0" t="0" r="15240" b="15875"/>
            <wp:docPr id="3" name="图片 3"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wnload"/>
                    <pic:cNvPicPr>
                      <a:picLocks noChangeAspect="1"/>
                    </pic:cNvPicPr>
                  </pic:nvPicPr>
                  <pic:blipFill>
                    <a:blip r:embed="rId4"/>
                    <a:stretch>
                      <a:fillRect/>
                    </a:stretch>
                  </pic:blipFill>
                  <pic:spPr>
                    <a:xfrm>
                      <a:off x="0" y="0"/>
                      <a:ext cx="5680710" cy="7889875"/>
                    </a:xfrm>
                    <a:prstGeom prst="rect">
                      <a:avLst/>
                    </a:prstGeom>
                  </pic:spPr>
                </pic:pic>
              </a:graphicData>
            </a:graphic>
          </wp:inline>
        </w:drawing>
      </w:r>
    </w:p>
    <w:p>
      <w:pPr>
        <w:textAlignment w:val="top"/>
        <w:rPr>
          <w:rFonts w:ascii="黑体" w:hAnsi="黑体" w:eastAsia="黑体"/>
          <w:sz w:val="20"/>
        </w:rPr>
      </w:pPr>
    </w:p>
    <w:p>
      <w:pPr>
        <w:pStyle w:val="12"/>
        <w:numPr>
          <w:ilvl w:val="0"/>
          <w:numId w:val="1"/>
        </w:numPr>
        <w:ind w:firstLineChars="0"/>
        <w:textAlignment w:val="top"/>
        <w:rPr>
          <w:rFonts w:ascii="黑体" w:hAnsi="黑体" w:eastAsia="黑体"/>
          <w:sz w:val="20"/>
        </w:rPr>
      </w:pPr>
      <w:r>
        <w:rPr>
          <w:rFonts w:hint="eastAsia" w:ascii="黑体" w:hAnsi="黑体" w:eastAsia="黑体"/>
          <w:sz w:val="20"/>
        </w:rPr>
        <w:t>办理材料</w:t>
      </w:r>
    </w:p>
    <w:tbl>
      <w:tblPr>
        <w:tblStyle w:val="5"/>
        <w:tblW w:w="9280" w:type="dxa"/>
        <w:tblInd w:w="93" w:type="dxa"/>
        <w:tblLayout w:type="autofit"/>
        <w:tblCellMar>
          <w:top w:w="0" w:type="dxa"/>
          <w:left w:w="108" w:type="dxa"/>
          <w:bottom w:w="0" w:type="dxa"/>
          <w:right w:w="108" w:type="dxa"/>
        </w:tblCellMar>
      </w:tblPr>
      <w:tblGrid>
        <w:gridCol w:w="582"/>
        <w:gridCol w:w="2268"/>
        <w:gridCol w:w="851"/>
        <w:gridCol w:w="729"/>
        <w:gridCol w:w="650"/>
        <w:gridCol w:w="1150"/>
        <w:gridCol w:w="3050"/>
      </w:tblGrid>
      <w:tr>
        <w:tblPrEx>
          <w:tblCellMar>
            <w:top w:w="0" w:type="dxa"/>
            <w:left w:w="108" w:type="dxa"/>
            <w:bottom w:w="0" w:type="dxa"/>
            <w:right w:w="108" w:type="dxa"/>
          </w:tblCellMar>
        </w:tblPrEx>
        <w:trPr>
          <w:trHeight w:val="660" w:hRule="atLeast"/>
        </w:trPr>
        <w:tc>
          <w:tcPr>
            <w:tcW w:w="582"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序号</w:t>
            </w:r>
          </w:p>
        </w:tc>
        <w:tc>
          <w:tcPr>
            <w:tcW w:w="2268" w:type="dxa"/>
            <w:tcBorders>
              <w:top w:val="single" w:color="auto" w:sz="4" w:space="0"/>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提交材料名称</w:t>
            </w:r>
          </w:p>
        </w:tc>
        <w:tc>
          <w:tcPr>
            <w:tcW w:w="851" w:type="dxa"/>
            <w:tcBorders>
              <w:top w:val="single" w:color="auto" w:sz="4" w:space="0"/>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原件/复印件</w:t>
            </w:r>
          </w:p>
        </w:tc>
        <w:tc>
          <w:tcPr>
            <w:tcW w:w="729" w:type="dxa"/>
            <w:tcBorders>
              <w:top w:val="single" w:color="auto" w:sz="4" w:space="0"/>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来源渠道</w:t>
            </w:r>
          </w:p>
        </w:tc>
        <w:tc>
          <w:tcPr>
            <w:tcW w:w="650" w:type="dxa"/>
            <w:tcBorders>
              <w:top w:val="single" w:color="auto" w:sz="4" w:space="0"/>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份数</w:t>
            </w:r>
          </w:p>
        </w:tc>
        <w:tc>
          <w:tcPr>
            <w:tcW w:w="1150" w:type="dxa"/>
            <w:tcBorders>
              <w:top w:val="single" w:color="auto" w:sz="4" w:space="0"/>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纸质/电子版</w:t>
            </w:r>
          </w:p>
        </w:tc>
        <w:tc>
          <w:tcPr>
            <w:tcW w:w="3050" w:type="dxa"/>
            <w:tcBorders>
              <w:top w:val="single" w:color="auto" w:sz="4" w:space="0"/>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特定要求</w:t>
            </w:r>
          </w:p>
        </w:tc>
      </w:tr>
      <w:tr>
        <w:tblPrEx>
          <w:tblCellMar>
            <w:top w:w="0" w:type="dxa"/>
            <w:left w:w="108" w:type="dxa"/>
            <w:bottom w:w="0" w:type="dxa"/>
            <w:right w:w="108" w:type="dxa"/>
          </w:tblCellMar>
        </w:tblPrEx>
        <w:trPr>
          <w:trHeight w:val="859" w:hRule="atLeast"/>
        </w:trPr>
        <w:tc>
          <w:tcPr>
            <w:tcW w:w="582" w:type="dxa"/>
            <w:tcBorders>
              <w:top w:val="nil"/>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2268"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ascii="宋体" w:hAnsi="宋体" w:eastAsia="宋体" w:cs="宋体"/>
                <w:color w:val="333333"/>
                <w:szCs w:val="21"/>
              </w:rPr>
              <w:t>《食品经营许可证》变更申请书原件</w:t>
            </w:r>
          </w:p>
        </w:tc>
        <w:tc>
          <w:tcPr>
            <w:tcW w:w="851"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原件</w:t>
            </w:r>
          </w:p>
        </w:tc>
        <w:tc>
          <w:tcPr>
            <w:tcW w:w="729"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申请人自备</w:t>
            </w:r>
          </w:p>
        </w:tc>
        <w:tc>
          <w:tcPr>
            <w:tcW w:w="65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15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w:t>
            </w:r>
          </w:p>
        </w:tc>
        <w:tc>
          <w:tcPr>
            <w:tcW w:w="3050"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材料真实有效，内容填写、签章完整，无涂改，复印件需签字按手印或盖章。</w:t>
            </w:r>
          </w:p>
        </w:tc>
      </w:tr>
      <w:tr>
        <w:tblPrEx>
          <w:tblCellMar>
            <w:top w:w="0" w:type="dxa"/>
            <w:left w:w="108" w:type="dxa"/>
            <w:bottom w:w="0" w:type="dxa"/>
            <w:right w:w="108" w:type="dxa"/>
          </w:tblCellMar>
        </w:tblPrEx>
        <w:trPr>
          <w:trHeight w:val="1403" w:hRule="atLeast"/>
        </w:trPr>
        <w:tc>
          <w:tcPr>
            <w:tcW w:w="582" w:type="dxa"/>
            <w:tcBorders>
              <w:top w:val="nil"/>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2</w:t>
            </w:r>
          </w:p>
        </w:tc>
        <w:tc>
          <w:tcPr>
            <w:tcW w:w="2268"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ascii="宋体" w:hAnsi="宋体" w:eastAsia="宋体" w:cs="宋体"/>
                <w:color w:val="333333"/>
                <w:szCs w:val="21"/>
              </w:rPr>
              <w:t>变更后的营业执照或者其他主体资格证明文件复印件1份</w:t>
            </w:r>
          </w:p>
        </w:tc>
        <w:tc>
          <w:tcPr>
            <w:tcW w:w="851"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原件</w:t>
            </w:r>
          </w:p>
        </w:tc>
        <w:tc>
          <w:tcPr>
            <w:tcW w:w="729"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申请人自备</w:t>
            </w:r>
          </w:p>
        </w:tc>
        <w:tc>
          <w:tcPr>
            <w:tcW w:w="65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15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w:t>
            </w:r>
          </w:p>
        </w:tc>
        <w:tc>
          <w:tcPr>
            <w:tcW w:w="3050"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材料真实有效，内容填写、签章完整，无涂改，复印件需签字按手印或盖章。</w:t>
            </w:r>
          </w:p>
        </w:tc>
      </w:tr>
      <w:tr>
        <w:tblPrEx>
          <w:tblCellMar>
            <w:top w:w="0" w:type="dxa"/>
            <w:left w:w="108" w:type="dxa"/>
            <w:bottom w:w="0" w:type="dxa"/>
            <w:right w:w="108" w:type="dxa"/>
          </w:tblCellMar>
        </w:tblPrEx>
        <w:trPr>
          <w:trHeight w:val="1203" w:hRule="atLeast"/>
        </w:trPr>
        <w:tc>
          <w:tcPr>
            <w:tcW w:w="582" w:type="dxa"/>
            <w:tcBorders>
              <w:top w:val="nil"/>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3</w:t>
            </w:r>
          </w:p>
        </w:tc>
        <w:tc>
          <w:tcPr>
            <w:tcW w:w="2268"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ascii="宋体" w:hAnsi="宋体" w:eastAsia="宋体" w:cs="宋体"/>
                <w:color w:val="333333"/>
                <w:szCs w:val="21"/>
              </w:rPr>
              <w:t>《食品经营许可证》正本、副本原件</w:t>
            </w:r>
          </w:p>
        </w:tc>
        <w:tc>
          <w:tcPr>
            <w:tcW w:w="851"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原件</w:t>
            </w:r>
          </w:p>
        </w:tc>
        <w:tc>
          <w:tcPr>
            <w:tcW w:w="729"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申请人自备</w:t>
            </w:r>
          </w:p>
        </w:tc>
        <w:tc>
          <w:tcPr>
            <w:tcW w:w="65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15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原件</w:t>
            </w:r>
          </w:p>
        </w:tc>
        <w:tc>
          <w:tcPr>
            <w:tcW w:w="3050"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材料真实有效，内容填写、签章完整，无涂改，复印件需签字按手印或盖章。</w:t>
            </w:r>
          </w:p>
        </w:tc>
      </w:tr>
      <w:tr>
        <w:tblPrEx>
          <w:tblCellMar>
            <w:top w:w="0" w:type="dxa"/>
            <w:left w:w="108" w:type="dxa"/>
            <w:bottom w:w="0" w:type="dxa"/>
            <w:right w:w="108" w:type="dxa"/>
          </w:tblCellMar>
        </w:tblPrEx>
        <w:trPr>
          <w:trHeight w:val="1110" w:hRule="atLeast"/>
        </w:trPr>
        <w:tc>
          <w:tcPr>
            <w:tcW w:w="582" w:type="dxa"/>
            <w:tcBorders>
              <w:top w:val="nil"/>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4</w:t>
            </w:r>
          </w:p>
        </w:tc>
        <w:tc>
          <w:tcPr>
            <w:tcW w:w="2268"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ascii="宋体" w:hAnsi="宋体" w:eastAsia="宋体" w:cs="宋体"/>
                <w:color w:val="333333"/>
                <w:szCs w:val="21"/>
              </w:rPr>
              <w:t>与食品经营相适应的主要设备设施布局、操作流程等文件</w:t>
            </w:r>
          </w:p>
        </w:tc>
        <w:tc>
          <w:tcPr>
            <w:tcW w:w="851"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原件</w:t>
            </w:r>
          </w:p>
        </w:tc>
        <w:tc>
          <w:tcPr>
            <w:tcW w:w="729"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申请人自备</w:t>
            </w:r>
          </w:p>
        </w:tc>
        <w:tc>
          <w:tcPr>
            <w:tcW w:w="65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15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w:t>
            </w:r>
          </w:p>
        </w:tc>
        <w:tc>
          <w:tcPr>
            <w:tcW w:w="3050"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材料真实有效，内容填写、签章完整，无涂改，复印件需签字按手印或盖章。</w:t>
            </w:r>
          </w:p>
        </w:tc>
      </w:tr>
      <w:tr>
        <w:tblPrEx>
          <w:tblCellMar>
            <w:top w:w="0" w:type="dxa"/>
            <w:left w:w="108" w:type="dxa"/>
            <w:bottom w:w="0" w:type="dxa"/>
            <w:right w:w="108" w:type="dxa"/>
          </w:tblCellMar>
        </w:tblPrEx>
        <w:trPr>
          <w:trHeight w:val="1320" w:hRule="atLeast"/>
        </w:trPr>
        <w:tc>
          <w:tcPr>
            <w:tcW w:w="582" w:type="dxa"/>
            <w:tcBorders>
              <w:top w:val="nil"/>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5</w:t>
            </w:r>
          </w:p>
        </w:tc>
        <w:tc>
          <w:tcPr>
            <w:tcW w:w="2268"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ascii="宋体" w:hAnsi="宋体" w:eastAsia="宋体" w:cs="宋体"/>
                <w:color w:val="333333"/>
                <w:szCs w:val="21"/>
              </w:rPr>
              <w:t>食品经营者在经营场所外设置仓库等食品贮存场所（包括自有和租赁）的，在申请时应提供仓库地址、面积、设备设施、储存条件等说明文件原件。</w:t>
            </w:r>
          </w:p>
        </w:tc>
        <w:tc>
          <w:tcPr>
            <w:tcW w:w="851"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原件和复印件</w:t>
            </w:r>
          </w:p>
        </w:tc>
        <w:tc>
          <w:tcPr>
            <w:tcW w:w="729"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申请人自备</w:t>
            </w:r>
          </w:p>
        </w:tc>
        <w:tc>
          <w:tcPr>
            <w:tcW w:w="65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15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w:t>
            </w:r>
          </w:p>
        </w:tc>
        <w:tc>
          <w:tcPr>
            <w:tcW w:w="3050"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材料真实有效，内容填写、签章完整，无涂改，复印件需签字按手印或盖章。</w:t>
            </w:r>
          </w:p>
        </w:tc>
      </w:tr>
      <w:tr>
        <w:tblPrEx>
          <w:tblCellMar>
            <w:top w:w="0" w:type="dxa"/>
            <w:left w:w="108" w:type="dxa"/>
            <w:bottom w:w="0" w:type="dxa"/>
            <w:right w:w="108" w:type="dxa"/>
          </w:tblCellMar>
        </w:tblPrEx>
        <w:trPr>
          <w:trHeight w:val="1320" w:hRule="atLeast"/>
        </w:trPr>
        <w:tc>
          <w:tcPr>
            <w:tcW w:w="582"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6</w:t>
            </w:r>
          </w:p>
        </w:tc>
        <w:tc>
          <w:tcPr>
            <w:tcW w:w="2268"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宋体" w:hAnsi="宋体" w:eastAsia="宋体" w:cs="宋体"/>
                <w:color w:val="333333"/>
                <w:szCs w:val="21"/>
              </w:rPr>
            </w:pPr>
            <w:r>
              <w:rPr>
                <w:rFonts w:ascii="宋体" w:hAnsi="宋体" w:eastAsia="宋体" w:cs="宋体"/>
                <w:color w:val="333333"/>
                <w:szCs w:val="21"/>
              </w:rPr>
              <w:t>食品安全自查、从业人员健康管理、进货查验记录、食品安全事故处置等保证食品安全的规章制度1份</w:t>
            </w:r>
          </w:p>
        </w:tc>
        <w:tc>
          <w:tcPr>
            <w:tcW w:w="851"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原件</w:t>
            </w:r>
          </w:p>
        </w:tc>
        <w:tc>
          <w:tcPr>
            <w:tcW w:w="729"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申请人自备</w:t>
            </w:r>
          </w:p>
        </w:tc>
        <w:tc>
          <w:tcPr>
            <w:tcW w:w="65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15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w:t>
            </w:r>
          </w:p>
        </w:tc>
        <w:tc>
          <w:tcPr>
            <w:tcW w:w="305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材料真实有效，内容填写、签章完整，无涂改，复印件需签字按手印或盖章。</w:t>
            </w:r>
          </w:p>
        </w:tc>
      </w:tr>
      <w:tr>
        <w:tblPrEx>
          <w:tblCellMar>
            <w:top w:w="0" w:type="dxa"/>
            <w:left w:w="108" w:type="dxa"/>
            <w:bottom w:w="0" w:type="dxa"/>
            <w:right w:w="108" w:type="dxa"/>
          </w:tblCellMar>
        </w:tblPrEx>
        <w:trPr>
          <w:trHeight w:val="2072" w:hRule="atLeast"/>
        </w:trPr>
        <w:tc>
          <w:tcPr>
            <w:tcW w:w="582"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7</w:t>
            </w:r>
          </w:p>
        </w:tc>
        <w:tc>
          <w:tcPr>
            <w:tcW w:w="2268"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宋体" w:hAnsi="宋体" w:eastAsia="宋体" w:cs="宋体"/>
                <w:color w:val="333333"/>
                <w:szCs w:val="21"/>
              </w:rPr>
            </w:pPr>
            <w:r>
              <w:rPr>
                <w:rFonts w:ascii="宋体" w:hAnsi="宋体" w:eastAsia="宋体" w:cs="宋体"/>
                <w:color w:val="333333"/>
                <w:szCs w:val="21"/>
              </w:rPr>
              <w:t>利用自动售货设备从事食品销售的，申请人还应当提交自动售货设备的产品合格证明、具体放置地点，经营者名称、住所、联系方式、食品经营许可</w:t>
            </w:r>
          </w:p>
        </w:tc>
        <w:tc>
          <w:tcPr>
            <w:tcW w:w="851"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原件和复印件</w:t>
            </w:r>
          </w:p>
        </w:tc>
        <w:tc>
          <w:tcPr>
            <w:tcW w:w="729"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申请人自备</w:t>
            </w:r>
          </w:p>
        </w:tc>
        <w:tc>
          <w:tcPr>
            <w:tcW w:w="65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15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w:t>
            </w:r>
          </w:p>
        </w:tc>
        <w:tc>
          <w:tcPr>
            <w:tcW w:w="305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材料真实有效，内容填写、签章完整，无涂改，复印件需签字按手印或盖章。</w:t>
            </w:r>
          </w:p>
        </w:tc>
      </w:tr>
      <w:tr>
        <w:tblPrEx>
          <w:tblCellMar>
            <w:top w:w="0" w:type="dxa"/>
            <w:left w:w="108" w:type="dxa"/>
            <w:bottom w:w="0" w:type="dxa"/>
            <w:right w:w="108" w:type="dxa"/>
          </w:tblCellMar>
        </w:tblPrEx>
        <w:trPr>
          <w:trHeight w:val="1677" w:hRule="atLeast"/>
        </w:trPr>
        <w:tc>
          <w:tcPr>
            <w:tcW w:w="582"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8</w:t>
            </w:r>
          </w:p>
        </w:tc>
        <w:tc>
          <w:tcPr>
            <w:tcW w:w="2268"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宋体" w:hAnsi="宋体" w:eastAsia="宋体" w:cs="宋体"/>
                <w:color w:val="333333"/>
                <w:szCs w:val="21"/>
              </w:rPr>
            </w:pPr>
            <w:r>
              <w:rPr>
                <w:rFonts w:ascii="宋体" w:hAnsi="宋体" w:eastAsia="宋体" w:cs="宋体"/>
                <w:color w:val="333333"/>
                <w:szCs w:val="21"/>
              </w:rPr>
              <w:t>《企业授权委托书》原件和经办人身份证复印件1份(仅属委托办理的需提供)</w:t>
            </w:r>
          </w:p>
        </w:tc>
        <w:tc>
          <w:tcPr>
            <w:tcW w:w="851"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原件</w:t>
            </w:r>
          </w:p>
        </w:tc>
        <w:tc>
          <w:tcPr>
            <w:tcW w:w="729"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申请人自备</w:t>
            </w:r>
          </w:p>
        </w:tc>
        <w:tc>
          <w:tcPr>
            <w:tcW w:w="65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15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w:t>
            </w:r>
          </w:p>
        </w:tc>
        <w:tc>
          <w:tcPr>
            <w:tcW w:w="305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材料真实有效，内容填写、签章完整，无涂改，复印件需签字按手印或盖章。</w:t>
            </w:r>
          </w:p>
        </w:tc>
      </w:tr>
    </w:tbl>
    <w:p>
      <w:pPr>
        <w:textAlignment w:val="top"/>
        <w:rPr>
          <w:rFonts w:ascii="黑体" w:hAnsi="黑体" w:eastAsia="黑体"/>
          <w:sz w:val="20"/>
        </w:rPr>
      </w:pPr>
    </w:p>
    <w:p>
      <w:pPr>
        <w:textAlignment w:val="top"/>
        <w:rPr>
          <w:rFonts w:ascii="黑体" w:hAnsi="黑体" w:eastAsia="黑体"/>
          <w:sz w:val="20"/>
        </w:rPr>
      </w:pPr>
    </w:p>
    <w:p>
      <w:pPr>
        <w:pStyle w:val="12"/>
        <w:numPr>
          <w:ilvl w:val="0"/>
          <w:numId w:val="1"/>
        </w:numPr>
        <w:ind w:firstLineChars="0"/>
        <w:textAlignment w:val="top"/>
        <w:rPr>
          <w:rFonts w:ascii="黑体" w:hAnsi="黑体" w:eastAsia="黑体"/>
          <w:sz w:val="20"/>
        </w:rPr>
      </w:pPr>
      <w:r>
        <w:rPr>
          <w:rFonts w:hint="eastAsia" w:ascii="黑体" w:hAnsi="黑体" w:eastAsia="黑体"/>
          <w:sz w:val="20"/>
        </w:rPr>
        <w:t>办理结果样本</w:t>
      </w:r>
    </w:p>
    <w:p>
      <w:pPr>
        <w:textAlignment w:val="top"/>
        <w:rPr>
          <w:rFonts w:ascii="黑体" w:hAnsi="黑体" w:eastAsia="黑体"/>
          <w:sz w:val="20"/>
        </w:rPr>
      </w:pPr>
    </w:p>
    <w:p>
      <w:pPr>
        <w:textAlignment w:val="top"/>
        <w:rPr>
          <w:rFonts w:ascii="黑体" w:hAnsi="黑体" w:eastAsia="黑体"/>
          <w:sz w:val="20"/>
        </w:rPr>
      </w:pPr>
      <w:r>
        <w:rPr>
          <w:rFonts w:hint="eastAsia" w:ascii="黑体" w:hAnsi="黑体" w:eastAsia="黑体"/>
          <w:sz w:val="20"/>
        </w:rPr>
        <w:drawing>
          <wp:inline distT="0" distB="0" distL="0" distR="0">
            <wp:extent cx="6186805" cy="4050665"/>
            <wp:effectExtent l="19050" t="0" r="3952"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5"/>
                    <a:srcRect/>
                    <a:stretch>
                      <a:fillRect/>
                    </a:stretch>
                  </pic:blipFill>
                  <pic:spPr>
                    <a:xfrm>
                      <a:off x="0" y="0"/>
                      <a:ext cx="6188710" cy="4051929"/>
                    </a:xfrm>
                    <a:prstGeom prst="rect">
                      <a:avLst/>
                    </a:prstGeom>
                    <a:noFill/>
                    <a:ln w="9525">
                      <a:noFill/>
                      <a:miter lim="800000"/>
                      <a:headEnd/>
                      <a:tailEnd/>
                    </a:ln>
                  </pic:spPr>
                </pic:pic>
              </a:graphicData>
            </a:graphic>
          </wp:inline>
        </w:drawing>
      </w:r>
    </w:p>
    <w:p>
      <w:pPr>
        <w:pStyle w:val="12"/>
        <w:ind w:left="420" w:firstLine="0" w:firstLineChars="0"/>
        <w:textAlignment w:val="top"/>
        <w:rPr>
          <w:rFonts w:ascii="黑体" w:hAnsi="黑体" w:eastAsia="黑体"/>
          <w:sz w:val="20"/>
        </w:rPr>
      </w:pPr>
    </w:p>
    <w:p>
      <w:pPr>
        <w:textAlignment w:val="top"/>
        <w:rPr>
          <w:rFonts w:ascii="黑体" w:hAnsi="黑体" w:eastAsia="黑体"/>
          <w:sz w:val="20"/>
        </w:rPr>
      </w:pPr>
      <w:r>
        <w:rPr>
          <w:rFonts w:ascii="黑体" w:hAnsi="黑体" w:eastAsia="黑体"/>
          <w:sz w:val="20"/>
        </w:rPr>
        <w:drawing>
          <wp:inline distT="0" distB="0" distL="0" distR="0">
            <wp:extent cx="6186805" cy="3912235"/>
            <wp:effectExtent l="19050" t="0" r="3853"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noChangeArrowheads="1"/>
                    </pic:cNvPicPr>
                  </pic:nvPicPr>
                  <pic:blipFill>
                    <a:blip r:embed="rId6"/>
                    <a:srcRect/>
                    <a:stretch>
                      <a:fillRect/>
                    </a:stretch>
                  </pic:blipFill>
                  <pic:spPr>
                    <a:xfrm>
                      <a:off x="0" y="0"/>
                      <a:ext cx="6188710" cy="3913611"/>
                    </a:xfrm>
                    <a:prstGeom prst="rect">
                      <a:avLst/>
                    </a:prstGeom>
                    <a:noFill/>
                    <a:ln w="9525">
                      <a:noFill/>
                      <a:miter lim="800000"/>
                      <a:headEnd/>
                      <a:tailEnd/>
                    </a:ln>
                  </pic:spPr>
                </pic:pic>
              </a:graphicData>
            </a:graphic>
          </wp:inline>
        </w:drawing>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altName w:val="Arial Unicode MS"/>
    <w:panose1 w:val="00000000000000000000"/>
    <w:charset w:val="86"/>
    <w:family w:val="script"/>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844B97"/>
    <w:multiLevelType w:val="multilevel"/>
    <w:tmpl w:val="74844B97"/>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254A91"/>
    <w:rsid w:val="00125C1D"/>
    <w:rsid w:val="00174861"/>
    <w:rsid w:val="00217E8C"/>
    <w:rsid w:val="00254A91"/>
    <w:rsid w:val="00303EEA"/>
    <w:rsid w:val="00366E03"/>
    <w:rsid w:val="00376BC4"/>
    <w:rsid w:val="0038607F"/>
    <w:rsid w:val="004168F9"/>
    <w:rsid w:val="005A0F99"/>
    <w:rsid w:val="00660E5F"/>
    <w:rsid w:val="006A1A84"/>
    <w:rsid w:val="006B1B53"/>
    <w:rsid w:val="006D530D"/>
    <w:rsid w:val="006E055F"/>
    <w:rsid w:val="0073780A"/>
    <w:rsid w:val="007762C5"/>
    <w:rsid w:val="007B49B4"/>
    <w:rsid w:val="007D59E2"/>
    <w:rsid w:val="00800398"/>
    <w:rsid w:val="00A27762"/>
    <w:rsid w:val="00A43D1C"/>
    <w:rsid w:val="00A71E7D"/>
    <w:rsid w:val="00AE1C3F"/>
    <w:rsid w:val="00B06727"/>
    <w:rsid w:val="00BD5EB1"/>
    <w:rsid w:val="00CB62B9"/>
    <w:rsid w:val="00CF5144"/>
    <w:rsid w:val="00D37C26"/>
    <w:rsid w:val="00E17949"/>
    <w:rsid w:val="00E94BD2"/>
    <w:rsid w:val="00EC4FCF"/>
    <w:rsid w:val="00EC6667"/>
    <w:rsid w:val="00F07F73"/>
    <w:rsid w:val="00F316CD"/>
    <w:rsid w:val="00FB0DD4"/>
    <w:rsid w:val="00FC67D2"/>
    <w:rsid w:val="01AF6F7A"/>
    <w:rsid w:val="09752842"/>
    <w:rsid w:val="12041C4A"/>
    <w:rsid w:val="23D91BE5"/>
    <w:rsid w:val="241B6582"/>
    <w:rsid w:val="47C90C4F"/>
    <w:rsid w:val="56233967"/>
    <w:rsid w:val="69871A8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1"/>
    <w:semiHidden/>
    <w:unhideWhenUsed/>
    <w:qFormat/>
    <w:uiPriority w:val="99"/>
    <w:pPr>
      <w:tabs>
        <w:tab w:val="center" w:pos="4153"/>
        <w:tab w:val="right" w:pos="8306"/>
      </w:tabs>
      <w:snapToGrid w:val="0"/>
      <w:jc w:val="left"/>
    </w:pPr>
    <w:rPr>
      <w:sz w:val="18"/>
      <w:szCs w:val="18"/>
    </w:rPr>
  </w:style>
  <w:style w:type="paragraph" w:styleId="4">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Strong"/>
    <w:basedOn w:val="6"/>
    <w:qFormat/>
    <w:uiPriority w:val="22"/>
    <w:rPr>
      <w:b/>
      <w:color w:val="4178BE"/>
      <w:u w:val="none"/>
    </w:rPr>
  </w:style>
  <w:style w:type="character" w:styleId="8">
    <w:name w:val="FollowedHyperlink"/>
    <w:basedOn w:val="6"/>
    <w:semiHidden/>
    <w:unhideWhenUsed/>
    <w:qFormat/>
    <w:uiPriority w:val="99"/>
    <w:rPr>
      <w:color w:val="333333"/>
      <w:u w:val="none"/>
    </w:rPr>
  </w:style>
  <w:style w:type="character" w:styleId="9">
    <w:name w:val="Hyperlink"/>
    <w:basedOn w:val="6"/>
    <w:semiHidden/>
    <w:unhideWhenUsed/>
    <w:qFormat/>
    <w:uiPriority w:val="99"/>
    <w:rPr>
      <w:color w:val="333333"/>
      <w:u w:val="none"/>
    </w:rPr>
  </w:style>
  <w:style w:type="character" w:customStyle="1" w:styleId="10">
    <w:name w:val="页眉 Char"/>
    <w:basedOn w:val="6"/>
    <w:link w:val="4"/>
    <w:semiHidden/>
    <w:qFormat/>
    <w:uiPriority w:val="99"/>
    <w:rPr>
      <w:sz w:val="18"/>
      <w:szCs w:val="18"/>
    </w:rPr>
  </w:style>
  <w:style w:type="character" w:customStyle="1" w:styleId="11">
    <w:name w:val="页脚 Char"/>
    <w:basedOn w:val="6"/>
    <w:link w:val="3"/>
    <w:semiHidden/>
    <w:qFormat/>
    <w:uiPriority w:val="99"/>
    <w:rPr>
      <w:sz w:val="18"/>
      <w:szCs w:val="18"/>
    </w:rPr>
  </w:style>
  <w:style w:type="paragraph" w:styleId="12">
    <w:name w:val="List Paragraph"/>
    <w:basedOn w:val="1"/>
    <w:qFormat/>
    <w:uiPriority w:val="34"/>
    <w:pPr>
      <w:ind w:firstLine="420" w:firstLineChars="200"/>
    </w:pPr>
  </w:style>
  <w:style w:type="character" w:customStyle="1" w:styleId="13">
    <w:name w:val="批注框文本 Char"/>
    <w:basedOn w:val="6"/>
    <w:link w:val="2"/>
    <w:semiHidden/>
    <w:qFormat/>
    <w:uiPriority w:val="99"/>
    <w:rPr>
      <w:sz w:val="18"/>
      <w:szCs w:val="18"/>
    </w:rPr>
  </w:style>
  <w:style w:type="paragraph" w:customStyle="1" w:styleId="14">
    <w:name w:val="封面标准名称"/>
    <w:basedOn w:val="1"/>
    <w:qFormat/>
    <w:uiPriority w:val="0"/>
    <w:pPr>
      <w:spacing w:line="680" w:lineRule="exact"/>
      <w:jc w:val="center"/>
    </w:pPr>
    <w:rPr>
      <w:rFonts w:hint="eastAsia" w:ascii="黑体" w:hAnsi="Times New Roman" w:eastAsia="黑体" w:cs="Times New Roman"/>
      <w:kern w:val="0"/>
      <w:sz w:val="52"/>
      <w:szCs w:val="20"/>
    </w:rPr>
  </w:style>
  <w:style w:type="character" w:customStyle="1" w:styleId="15">
    <w:name w:val="s11"/>
    <w:basedOn w:val="6"/>
    <w:qFormat/>
    <w:uiPriority w:val="0"/>
    <w:rPr>
      <w:rFonts w:hint="eastAsia" w:ascii="宋体" w:hAnsi="宋体" w:eastAsia="宋体" w:cs="宋体"/>
      <w:sz w:val="32"/>
      <w:szCs w:val="32"/>
    </w:rPr>
  </w:style>
  <w:style w:type="character" w:customStyle="1" w:styleId="16">
    <w:name w:val="bsharetext"/>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401</Words>
  <Characters>2292</Characters>
  <Lines>19</Lines>
  <Paragraphs>5</Paragraphs>
  <TotalTime>0</TotalTime>
  <ScaleCrop>false</ScaleCrop>
  <LinksUpToDate>false</LinksUpToDate>
  <CharactersWithSpaces>2688</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2020-03-25T07:54:00Z</dcterms:created>
  <dc:creator>pc</dc:creator>
  <cp:lastModifiedBy>pc</cp:lastModifiedBy>
  <dcterms:modified xsi:type="dcterms:W3CDTF">2020-12-07T07:11:57Z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