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spacing w:line="240" w:lineRule="auto"/>
        <w:contextualSpacing/>
        <w:jc w:val="right"/>
        <w:rPr>
          <w:rFonts w:hint="default" w:hAnsi="黑体" w:cs="黑体"/>
          <w:bCs/>
          <w:sz w:val="28"/>
          <w:szCs w:val="28"/>
        </w:rPr>
      </w:pPr>
    </w:p>
    <w:p>
      <w:pPr>
        <w:pStyle w:val="14"/>
        <w:widowControl/>
        <w:spacing w:line="240" w:lineRule="auto"/>
        <w:contextualSpacing/>
        <w:jc w:val="right"/>
        <w:rPr>
          <w:rFonts w:hint="default" w:hAnsi="黑体" w:cs="黑体"/>
          <w:szCs w:val="52"/>
        </w:rPr>
      </w:pPr>
      <w:r>
        <w:rPr>
          <w:rFonts w:hAnsi="黑体" w:cs="黑体"/>
          <w:bCs/>
          <w:sz w:val="28"/>
          <w:szCs w:val="28"/>
        </w:rPr>
        <w:t>FWZN-005967704XK24734005</w:t>
      </w:r>
    </w:p>
    <w:p>
      <w:pPr>
        <w:pStyle w:val="14"/>
        <w:widowControl/>
        <w:spacing w:line="240" w:lineRule="auto"/>
        <w:contextualSpacing/>
        <w:jc w:val="both"/>
        <w:rPr>
          <w:rFonts w:hint="default" w:hAnsi="黑体" w:cs="黑体"/>
          <w:szCs w:val="52"/>
        </w:rPr>
      </w:pPr>
    </w:p>
    <w:p>
      <w:pPr>
        <w:pStyle w:val="14"/>
        <w:widowControl/>
        <w:spacing w:line="240" w:lineRule="auto"/>
        <w:contextualSpacing/>
        <w:jc w:val="both"/>
        <w:rPr>
          <w:rFonts w:hint="default" w:hAnsi="黑体" w:cs="黑体"/>
          <w:szCs w:val="52"/>
        </w:rPr>
      </w:pPr>
    </w:p>
    <w:p>
      <w:pPr>
        <w:pStyle w:val="14"/>
        <w:widowControl/>
        <w:spacing w:line="240" w:lineRule="auto"/>
        <w:contextualSpacing/>
        <w:rPr>
          <w:rFonts w:hint="default" w:hAnsi="黑体" w:cs="黑体"/>
          <w:szCs w:val="52"/>
        </w:rPr>
      </w:pPr>
      <w:r>
        <w:rPr>
          <w:rFonts w:hAnsi="黑体" w:cs="黑体"/>
          <w:szCs w:val="52"/>
        </w:rPr>
        <w:t>食品（含保健食品）经营许可注销</w:t>
      </w:r>
    </w:p>
    <w:p>
      <w:pPr>
        <w:pStyle w:val="14"/>
        <w:widowControl/>
        <w:spacing w:line="240" w:lineRule="auto"/>
        <w:contextualSpacing/>
        <w:rPr>
          <w:rFonts w:hint="default" w:hAnsi="黑体" w:cs="黑体"/>
          <w:szCs w:val="52"/>
        </w:rPr>
      </w:pPr>
      <w:r>
        <w:rPr>
          <w:rFonts w:hAnsi="黑体" w:cs="黑体"/>
          <w:szCs w:val="52"/>
        </w:rPr>
        <w:t>服务指南</w:t>
      </w:r>
    </w:p>
    <w:p>
      <w:pPr>
        <w:pStyle w:val="14"/>
        <w:widowControl/>
        <w:spacing w:line="240" w:lineRule="auto"/>
        <w:contextualSpacing/>
        <w:rPr>
          <w:rFonts w:hint="default" w:ascii="方正小标宋简体" w:hAnsi="楷体" w:eastAsia="方正小标宋简体"/>
          <w:szCs w:val="52"/>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r>
        <w:rPr>
          <w:rFonts w:hint="eastAsia" w:ascii="黑体" w:hAnsi="黑体" w:eastAsia="黑体" w:cs="黑体"/>
          <w:kern w:val="0"/>
          <w:sz w:val="28"/>
          <w:szCs w:val="28"/>
          <w:u w:val="thick"/>
        </w:rPr>
        <w:t>2020年</w:t>
      </w:r>
      <w:r>
        <w:rPr>
          <w:rFonts w:hint="eastAsia" w:ascii="黑体" w:hAnsi="黑体" w:eastAsia="黑体" w:cs="黑体"/>
          <w:kern w:val="0"/>
          <w:sz w:val="28"/>
          <w:szCs w:val="28"/>
          <w:u w:val="thick"/>
          <w:lang w:val="en-US" w:eastAsia="zh-CN"/>
        </w:rPr>
        <w:t>10</w:t>
      </w:r>
      <w:r>
        <w:rPr>
          <w:rFonts w:hint="eastAsia" w:ascii="黑体" w:hAnsi="黑体" w:eastAsia="黑体" w:cs="黑体"/>
          <w:kern w:val="0"/>
          <w:sz w:val="28"/>
          <w:szCs w:val="28"/>
          <w:u w:val="thick"/>
        </w:rPr>
        <w:t>月26日发布                             2020年</w:t>
      </w:r>
      <w:r>
        <w:rPr>
          <w:rFonts w:hint="eastAsia" w:ascii="黑体" w:hAnsi="黑体" w:eastAsia="黑体" w:cs="黑体"/>
          <w:kern w:val="0"/>
          <w:sz w:val="28"/>
          <w:szCs w:val="28"/>
          <w:u w:val="thick"/>
          <w:lang w:val="en-US" w:eastAsia="zh-CN"/>
        </w:rPr>
        <w:t>10</w:t>
      </w:r>
      <w:bookmarkStart w:id="0" w:name="_GoBack"/>
      <w:bookmarkEnd w:id="0"/>
      <w:r>
        <w:rPr>
          <w:rFonts w:hint="eastAsia" w:ascii="黑体" w:hAnsi="黑体" w:eastAsia="黑体" w:cs="黑体"/>
          <w:kern w:val="0"/>
          <w:sz w:val="28"/>
          <w:szCs w:val="28"/>
          <w:u w:val="thick"/>
        </w:rPr>
        <w:t>月26日实施</w:t>
      </w:r>
    </w:p>
    <w:p>
      <w:pPr>
        <w:pStyle w:val="14"/>
        <w:widowControl/>
        <w:spacing w:line="240" w:lineRule="auto"/>
        <w:contextualSpacing/>
        <w:rPr>
          <w:rFonts w:hint="default" w:hAnsi="黑体" w:cs="黑体"/>
          <w:bCs/>
          <w:sz w:val="28"/>
          <w:szCs w:val="28"/>
        </w:rPr>
      </w:pPr>
      <w:r>
        <w:rPr>
          <w:rFonts w:hAnsi="黑体" w:cs="黑体"/>
          <w:b/>
          <w:bCs/>
          <w:sz w:val="28"/>
          <w:szCs w:val="28"/>
        </w:rPr>
        <w:t>西平县市场监督管理局 发布</w:t>
      </w:r>
    </w:p>
    <w:tbl>
      <w:tblPr>
        <w:tblStyle w:val="5"/>
        <w:tblW w:w="9513" w:type="dxa"/>
        <w:tblInd w:w="93" w:type="dxa"/>
        <w:tblLayout w:type="fixed"/>
        <w:tblCellMar>
          <w:top w:w="0" w:type="dxa"/>
          <w:left w:w="108" w:type="dxa"/>
          <w:bottom w:w="0" w:type="dxa"/>
          <w:right w:w="108" w:type="dxa"/>
        </w:tblCellMar>
      </w:tblPr>
      <w:tblGrid>
        <w:gridCol w:w="1716"/>
        <w:gridCol w:w="3261"/>
        <w:gridCol w:w="1417"/>
        <w:gridCol w:w="3119"/>
      </w:tblGrid>
      <w:tr>
        <w:tblPrEx>
          <w:tblCellMar>
            <w:top w:w="0" w:type="dxa"/>
            <w:left w:w="108" w:type="dxa"/>
            <w:bottom w:w="0" w:type="dxa"/>
            <w:right w:w="108" w:type="dxa"/>
          </w:tblCellMar>
        </w:tblPrEx>
        <w:trPr>
          <w:trHeight w:val="735" w:hRule="atLeast"/>
        </w:trPr>
        <w:tc>
          <w:tcPr>
            <w:tcW w:w="9513" w:type="dxa"/>
            <w:gridSpan w:val="4"/>
            <w:tcBorders>
              <w:top w:val="nil"/>
              <w:left w:val="nil"/>
              <w:bottom w:val="nil"/>
              <w:right w:val="nil"/>
            </w:tcBorders>
            <w:shd w:val="clear" w:color="auto" w:fill="auto"/>
            <w:noWrap/>
            <w:vAlign w:val="center"/>
          </w:tcPr>
          <w:p>
            <w:pPr>
              <w:widowControl/>
              <w:textAlignment w:val="top"/>
              <w:rPr>
                <w:rFonts w:ascii="黑体" w:hAnsi="黑体" w:eastAsia="黑体" w:cs="宋体"/>
                <w:b/>
                <w:bCs/>
                <w:color w:val="000000"/>
                <w:kern w:val="0"/>
                <w:sz w:val="22"/>
                <w:szCs w:val="24"/>
              </w:rPr>
            </w:pPr>
          </w:p>
          <w:p>
            <w:pPr>
              <w:widowControl/>
              <w:jc w:val="center"/>
              <w:textAlignment w:val="top"/>
              <w:rPr>
                <w:rFonts w:ascii="黑体" w:hAnsi="黑体" w:eastAsia="黑体" w:cs="宋体"/>
                <w:b/>
                <w:bCs/>
                <w:color w:val="000000"/>
                <w:kern w:val="0"/>
                <w:sz w:val="22"/>
                <w:szCs w:val="24"/>
              </w:rPr>
            </w:pPr>
            <w:r>
              <w:rPr>
                <w:rFonts w:hint="eastAsia" w:ascii="黑体" w:hAnsi="黑体" w:eastAsia="黑体" w:cs="宋体"/>
                <w:b/>
                <w:bCs/>
                <w:color w:val="000000"/>
                <w:kern w:val="0"/>
                <w:sz w:val="28"/>
                <w:szCs w:val="24"/>
              </w:rPr>
              <w:t>食品（含保健食品）经营许可注销服务指南</w:t>
            </w:r>
          </w:p>
        </w:tc>
      </w:tr>
      <w:tr>
        <w:tblPrEx>
          <w:tblCellMar>
            <w:top w:w="0" w:type="dxa"/>
            <w:left w:w="108" w:type="dxa"/>
            <w:bottom w:w="0" w:type="dxa"/>
            <w:right w:w="108" w:type="dxa"/>
          </w:tblCellMar>
        </w:tblPrEx>
        <w:trPr>
          <w:trHeight w:val="330" w:hRule="atLeast"/>
        </w:trPr>
        <w:tc>
          <w:tcPr>
            <w:tcW w:w="1716"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事项类型</w:t>
            </w:r>
          </w:p>
        </w:tc>
        <w:tc>
          <w:tcPr>
            <w:tcW w:w="3261"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行政许可</w:t>
            </w:r>
          </w:p>
        </w:tc>
        <w:tc>
          <w:tcPr>
            <w:tcW w:w="1417" w:type="dxa"/>
            <w:tcBorders>
              <w:top w:val="single" w:color="auto" w:sz="4" w:space="0"/>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办件类型</w:t>
            </w:r>
          </w:p>
        </w:tc>
        <w:tc>
          <w:tcPr>
            <w:tcW w:w="3119"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lang w:eastAsia="zh-CN"/>
              </w:rPr>
              <w:t>即办</w:t>
            </w:r>
            <w:r>
              <w:rPr>
                <w:rFonts w:hint="eastAsia" w:ascii="黑体" w:hAnsi="黑体" w:eastAsia="黑体" w:cs="宋体"/>
                <w:color w:val="333333"/>
                <w:kern w:val="0"/>
              </w:rPr>
              <w:t>件</w:t>
            </w:r>
          </w:p>
        </w:tc>
      </w:tr>
      <w:tr>
        <w:tblPrEx>
          <w:tblCellMar>
            <w:top w:w="0" w:type="dxa"/>
            <w:left w:w="108" w:type="dxa"/>
            <w:bottom w:w="0" w:type="dxa"/>
            <w:right w:w="108" w:type="dxa"/>
          </w:tblCellMar>
        </w:tblPrEx>
        <w:trPr>
          <w:trHeight w:val="474"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实施主体</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县市场监督管理局</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实施主体性质</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法定机关</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行使层级</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县级</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服务对象</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微软雅黑" w:hAnsi="微软雅黑" w:eastAsia="微软雅黑" w:cs="微软雅黑"/>
                <w:color w:val="333333"/>
                <w:sz w:val="22"/>
              </w:rPr>
            </w:pPr>
            <w:r>
              <w:rPr>
                <w:rFonts w:hint="eastAsia" w:ascii="黑体" w:hAnsi="黑体" w:eastAsia="黑体" w:cs="宋体"/>
                <w:color w:val="333333"/>
                <w:kern w:val="0"/>
              </w:rPr>
              <w:t>个人、法人</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许可数量</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无限制</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是否涉及中介</w:t>
            </w:r>
          </w:p>
        </w:tc>
        <w:tc>
          <w:tcPr>
            <w:tcW w:w="3119"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否</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法定办结时限</w:t>
            </w:r>
            <w:r>
              <w:rPr>
                <w:rFonts w:hint="eastAsia" w:ascii="黑体" w:hAnsi="黑体" w:eastAsia="黑体" w:cs="宋体"/>
                <w:color w:val="333333"/>
                <w:kern w:val="0"/>
                <w:sz w:val="18"/>
                <w:szCs w:val="20"/>
              </w:rPr>
              <w:t>（工作日）</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20</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承诺办结时限</w:t>
            </w:r>
            <w:r>
              <w:rPr>
                <w:rFonts w:hint="eastAsia" w:ascii="黑体" w:hAnsi="黑体" w:eastAsia="黑体" w:cs="宋体"/>
                <w:color w:val="333333"/>
                <w:kern w:val="0"/>
                <w:sz w:val="18"/>
                <w:szCs w:val="20"/>
              </w:rPr>
              <w:t>（工作日）</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1</w:t>
            </w:r>
          </w:p>
        </w:tc>
      </w:tr>
      <w:tr>
        <w:tblPrEx>
          <w:tblCellMar>
            <w:top w:w="0" w:type="dxa"/>
            <w:left w:w="108" w:type="dxa"/>
            <w:bottom w:w="0" w:type="dxa"/>
            <w:right w:w="108" w:type="dxa"/>
          </w:tblCellMar>
        </w:tblPrEx>
        <w:trPr>
          <w:trHeight w:val="60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是否收费</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否</w:t>
            </w:r>
          </w:p>
        </w:tc>
        <w:tc>
          <w:tcPr>
            <w:tcW w:w="1417"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收费方式</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不收费</w:t>
            </w:r>
          </w:p>
        </w:tc>
      </w:tr>
      <w:tr>
        <w:tblPrEx>
          <w:tblCellMar>
            <w:top w:w="0" w:type="dxa"/>
            <w:left w:w="108" w:type="dxa"/>
            <w:bottom w:w="0" w:type="dxa"/>
            <w:right w:w="108" w:type="dxa"/>
          </w:tblCellMar>
        </w:tblPrEx>
        <w:trPr>
          <w:trHeight w:val="556"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收费标准及依据</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不涉及收费</w:t>
            </w:r>
          </w:p>
        </w:tc>
      </w:tr>
      <w:tr>
        <w:tblPrEx>
          <w:tblCellMar>
            <w:top w:w="0" w:type="dxa"/>
            <w:left w:w="108" w:type="dxa"/>
            <w:bottom w:w="0" w:type="dxa"/>
            <w:right w:w="108" w:type="dxa"/>
          </w:tblCellMar>
        </w:tblPrEx>
        <w:trPr>
          <w:trHeight w:val="136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申请条件</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jc w:val="left"/>
              <w:rPr>
                <w:rFonts w:ascii="微软雅黑" w:hAnsi="微软雅黑" w:eastAsia="微软雅黑" w:cs="宋体"/>
                <w:color w:val="333333"/>
                <w:sz w:val="23"/>
                <w:szCs w:val="23"/>
              </w:rPr>
            </w:pPr>
            <w:r>
              <w:rPr>
                <w:rFonts w:hint="eastAsia" w:ascii="黑体" w:hAnsi="黑体" w:eastAsia="黑体" w:cs="宋体"/>
                <w:color w:val="333333"/>
                <w:kern w:val="0"/>
              </w:rPr>
              <w:t>食品经营者终止食品经营，食品经营许可被撤回、撤销或者食品经营许可证被吊销的，应当在30个工作日内向原发证的市场监督管理部门申请办理注销手续。</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行使内容</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县级以上市场监督管理部门应对申请人提交的申请材料进行审查，需要对申请材料的实质内容进行核实，并进行现场检查。</w:t>
            </w:r>
          </w:p>
        </w:tc>
      </w:tr>
      <w:tr>
        <w:tblPrEx>
          <w:tblCellMar>
            <w:top w:w="0" w:type="dxa"/>
            <w:left w:w="108" w:type="dxa"/>
            <w:bottom w:w="0" w:type="dxa"/>
            <w:right w:w="108" w:type="dxa"/>
          </w:tblCellMar>
        </w:tblPrEx>
        <w:trPr>
          <w:trHeight w:val="737"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法定办结时限说明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法定时间不包含听证、招标、拍卖、检验、检测、检疫、鉴定和专家评审、现场勘查、补件、上报（转报）等步骤所需要的时间。</w:t>
            </w:r>
          </w:p>
        </w:tc>
      </w:tr>
      <w:tr>
        <w:tblPrEx>
          <w:tblCellMar>
            <w:top w:w="0" w:type="dxa"/>
            <w:left w:w="108" w:type="dxa"/>
            <w:bottom w:w="0" w:type="dxa"/>
            <w:right w:w="108" w:type="dxa"/>
          </w:tblCellMar>
        </w:tblPrEx>
        <w:trPr>
          <w:trHeight w:val="1047"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承诺办结时限说明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承诺时间不包含听证、招标、拍卖、检验、检测、检疫、鉴定和专家评审、现场勘查、补件、上报（转报）等步骤所需要的时间。</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办理结果类型</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无</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sz w:val="16"/>
                <w:szCs w:val="18"/>
              </w:rPr>
            </w:pPr>
            <w:r>
              <w:rPr>
                <w:rFonts w:hint="eastAsia" w:ascii="黑体" w:hAnsi="黑体" w:eastAsia="黑体" w:cs="宋体"/>
                <w:color w:val="333333"/>
                <w:kern w:val="0"/>
              </w:rPr>
              <w:t>办理结果领取方式</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申请对象窗口领取或邮递送达结果</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办理结果获取说明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1.申请人携带有效身份证件，2.行政许可申请受理决定书</w:t>
            </w:r>
          </w:p>
        </w:tc>
      </w:tr>
      <w:tr>
        <w:tblPrEx>
          <w:tblCellMar>
            <w:top w:w="0" w:type="dxa"/>
            <w:left w:w="108" w:type="dxa"/>
            <w:bottom w:w="0" w:type="dxa"/>
            <w:right w:w="108" w:type="dxa"/>
          </w:tblCellMar>
        </w:tblPrEx>
        <w:trPr>
          <w:trHeight w:val="521"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办理形式</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窗口办理；网上办理</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ascii="黑体" w:hAnsi="黑体" w:eastAsia="黑体" w:cs="宋体"/>
                <w:color w:val="000000"/>
                <w:kern w:val="0"/>
              </w:rPr>
            </w:pPr>
            <w:r>
              <w:rPr>
                <w:rFonts w:hint="eastAsia" w:ascii="黑体" w:hAnsi="黑体" w:eastAsia="黑体" w:cs="宋体"/>
                <w:color w:val="333333"/>
                <w:kern w:val="0"/>
              </w:rPr>
              <w:t>通办范围</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ascii="黑体" w:hAnsi="黑体" w:eastAsia="黑体" w:cs="宋体"/>
                <w:color w:val="000000"/>
                <w:kern w:val="0"/>
              </w:rPr>
            </w:pPr>
            <w:r>
              <w:rPr>
                <w:rFonts w:hint="eastAsia" w:ascii="黑体" w:hAnsi="黑体" w:eastAsia="黑体" w:cs="宋体"/>
                <w:color w:val="333333"/>
                <w:kern w:val="0"/>
              </w:rPr>
              <w:t>全县</w:t>
            </w:r>
          </w:p>
        </w:tc>
      </w:tr>
      <w:tr>
        <w:tblPrEx>
          <w:tblCellMar>
            <w:top w:w="0" w:type="dxa"/>
            <w:left w:w="108" w:type="dxa"/>
            <w:bottom w:w="0" w:type="dxa"/>
            <w:right w:w="108" w:type="dxa"/>
          </w:tblCellMar>
        </w:tblPrEx>
        <w:trPr>
          <w:trHeight w:val="699"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监督投诉电话</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一、固话投诉:0396-6263392 短号:0396-12345 二、网上投诉地址：1、河南省政务服务网上投诉平台:http://was.hnzwfw.gov.cn/evaluation-web/userAuthent/getUserAuthent.do?flag=42、 河南省信访局网上投诉平台:http://wsxfdt.xfj.henan.gov.cn:8080/zfp/webroot/index.html3、 河南省纪委网上投诉平台:http://henan.12388.gov.cn/</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咨询地电话</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一、固话咨询:0396-6117118 二、网上咨询地址：http://was.hnzwfw.gov.cn/evaluation-web/userAuthent/getUserAuthent.do?flag=3</w:t>
            </w:r>
          </w:p>
        </w:tc>
      </w:tr>
      <w:tr>
        <w:tblPrEx>
          <w:tblCellMar>
            <w:top w:w="0" w:type="dxa"/>
            <w:left w:w="108" w:type="dxa"/>
            <w:bottom w:w="0" w:type="dxa"/>
            <w:right w:w="108" w:type="dxa"/>
          </w:tblCellMar>
        </w:tblPrEx>
        <w:trPr>
          <w:trHeight w:val="42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最多到办事现场次数</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1</w:t>
            </w:r>
          </w:p>
        </w:tc>
      </w:tr>
      <w:tr>
        <w:tblPrEx>
          <w:tblCellMar>
            <w:top w:w="0" w:type="dxa"/>
            <w:left w:w="108" w:type="dxa"/>
            <w:bottom w:w="0" w:type="dxa"/>
            <w:right w:w="108" w:type="dxa"/>
          </w:tblCellMar>
        </w:tblPrEx>
        <w:trPr>
          <w:trHeight w:val="9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办公时间</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周一至周五， 法定节假日除外 。 夏季：上午08:00-12:00 下午 15:00-18:00； 冬季：上午08:00-12:00 下午 14:30-17:30。</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办理地点</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sz w:val="21"/>
                <w:szCs w:val="22"/>
                <w:lang w:val="en-US" w:eastAsia="zh-CN" w:bidi="ar-SA"/>
              </w:rPr>
            </w:pPr>
            <w:r>
              <w:rPr>
                <w:rFonts w:hint="eastAsia" w:ascii="黑体" w:hAnsi="黑体" w:eastAsia="黑体" w:cs="宋体"/>
                <w:color w:val="333333"/>
                <w:kern w:val="0"/>
              </w:rPr>
              <w:t>西平县护城河南路街道9号2楼市场监管局（窗口）</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交通指引</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sz w:val="21"/>
                <w:szCs w:val="22"/>
                <w:lang w:val="en-US" w:eastAsia="zh-CN" w:bidi="ar-SA"/>
              </w:rPr>
            </w:pPr>
            <w:r>
              <w:rPr>
                <w:rFonts w:hint="eastAsia" w:ascii="黑体" w:hAnsi="黑体" w:eastAsia="黑体" w:cs="宋体"/>
                <w:color w:val="333333"/>
                <w:kern w:val="0"/>
              </w:rPr>
              <w:t xml:space="preserve">西平县护城河路南段 乘坐102路公交车到行政服务中心下车 </w:t>
            </w:r>
          </w:p>
        </w:tc>
      </w:tr>
      <w:tr>
        <w:tblPrEx>
          <w:tblCellMar>
            <w:top w:w="0" w:type="dxa"/>
            <w:left w:w="108" w:type="dxa"/>
            <w:bottom w:w="0" w:type="dxa"/>
            <w:right w:w="108" w:type="dxa"/>
          </w:tblCellMar>
        </w:tblPrEx>
        <w:trPr>
          <w:trHeight w:val="88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办理查询</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申请人可通过电话、河南政务服务网、河南政务服务网手机APP客户端、政务服务大厅窗口等方式查询该事项的办理进程</w:t>
            </w:r>
          </w:p>
        </w:tc>
      </w:tr>
      <w:tr>
        <w:tblPrEx>
          <w:tblCellMar>
            <w:top w:w="0" w:type="dxa"/>
            <w:left w:w="108" w:type="dxa"/>
            <w:bottom w:w="0" w:type="dxa"/>
            <w:right w:w="108" w:type="dxa"/>
          </w:tblCellMar>
        </w:tblPrEx>
        <w:trPr>
          <w:trHeight w:val="148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办理流程</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环节名称：收件 ；办理人：政务服务大厅市场监管局窗口；办理时限：即收；审查标准：申请人通过河南政务服务网提交申请材料。或者前往西平县政务服务大厅市场监管局窗口进行办理；</w:t>
            </w:r>
            <w:r>
              <w:rPr>
                <w:rFonts w:hint="default" w:ascii="黑体" w:hAnsi="黑体" w:eastAsia="黑体" w:cs="宋体"/>
                <w:color w:val="333333"/>
                <w:kern w:val="0"/>
              </w:rPr>
              <w:br w:type="textWrapping"/>
            </w:r>
            <w:r>
              <w:rPr>
                <w:rFonts w:hint="default" w:ascii="黑体" w:hAnsi="黑体" w:eastAsia="黑体" w:cs="宋体"/>
                <w:color w:val="333333"/>
                <w:kern w:val="0"/>
              </w:rPr>
              <w:t>环节名称：受理 ；办理人：政务服务大厅市场监管局窗口；办理时限：0.5；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w:t>
            </w:r>
            <w:r>
              <w:rPr>
                <w:rFonts w:hint="default" w:ascii="黑体" w:hAnsi="黑体" w:eastAsia="黑体" w:cs="宋体"/>
                <w:color w:val="333333"/>
                <w:kern w:val="0"/>
              </w:rPr>
              <w:br w:type="textWrapping"/>
            </w:r>
            <w:r>
              <w:rPr>
                <w:rFonts w:hint="default" w:ascii="黑体" w:hAnsi="黑体" w:eastAsia="黑体" w:cs="宋体"/>
                <w:color w:val="333333"/>
                <w:kern w:val="0"/>
              </w:rPr>
              <w:t>环节名称：审核 ；办理人：业务股室；审查标准：审查提交材料是否齐全，是否符合法定形式。；办理结果：对审核无误的作出批准决定；对审核不合格的，作出不予批准决定；</w:t>
            </w:r>
            <w:r>
              <w:rPr>
                <w:rFonts w:hint="default" w:ascii="黑体" w:hAnsi="黑体" w:eastAsia="黑体" w:cs="宋体"/>
                <w:color w:val="333333"/>
                <w:kern w:val="0"/>
              </w:rPr>
              <w:br w:type="textWrapping"/>
            </w:r>
            <w:r>
              <w:rPr>
                <w:rFonts w:hint="default" w:ascii="黑体" w:hAnsi="黑体" w:eastAsia="黑体" w:cs="宋体"/>
                <w:color w:val="333333"/>
                <w:kern w:val="0"/>
              </w:rPr>
              <w:t>环节名称：决定 ；办理人：业务股室；办理时限：0.5；审查标准：再次核查相关信息是否正确，并作出决定；办理结果：作出批准决定，出具决定意见，并向社会公示。作出不予批准决定的，书面通知申请人。；</w:t>
            </w:r>
            <w:r>
              <w:rPr>
                <w:rFonts w:hint="default" w:ascii="黑体" w:hAnsi="黑体" w:eastAsia="黑体" w:cs="宋体"/>
                <w:color w:val="333333"/>
                <w:kern w:val="0"/>
              </w:rPr>
              <w:br w:type="textWrapping"/>
            </w:r>
            <w:r>
              <w:rPr>
                <w:rFonts w:hint="default" w:ascii="黑体" w:hAnsi="黑体" w:eastAsia="黑体" w:cs="宋体"/>
                <w:color w:val="333333"/>
                <w:kern w:val="0"/>
              </w:rPr>
              <w:t>环节名称：送达 ；办理人：政务服务大厅市场监管局窗口；办理结果：事项办理结果根据申请人要求在规定时限内通过快递送达或上门自取。</w:t>
            </w:r>
          </w:p>
        </w:tc>
      </w:tr>
    </w:tbl>
    <w:p>
      <w:pPr>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设立依据</w:t>
      </w:r>
    </w:p>
    <w:p>
      <w:pPr>
        <w:pStyle w:val="12"/>
        <w:ind w:left="420" w:firstLine="0" w:firstLineChars="0"/>
        <w:textAlignment w:val="top"/>
        <w:rPr>
          <w:rFonts w:ascii="黑体" w:hAnsi="黑体" w:eastAsia="黑体"/>
          <w:sz w:val="20"/>
        </w:rPr>
      </w:pPr>
      <w:r>
        <w:rPr>
          <w:rFonts w:hint="eastAsia" w:ascii="黑体" w:hAnsi="黑体" w:eastAsia="黑体"/>
          <w:sz w:val="20"/>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12"/>
        <w:ind w:left="420" w:firstLine="0" w:firstLineChars="0"/>
        <w:textAlignment w:val="top"/>
        <w:rPr>
          <w:rFonts w:ascii="黑体" w:hAnsi="黑体" w:eastAsia="黑体"/>
          <w:sz w:val="20"/>
        </w:rPr>
      </w:pPr>
    </w:p>
    <w:p>
      <w:pPr>
        <w:pStyle w:val="12"/>
        <w:ind w:left="420" w:firstLine="0" w:firstLineChars="0"/>
        <w:textAlignment w:val="top"/>
        <w:rPr>
          <w:rFonts w:ascii="黑体" w:hAnsi="黑体" w:eastAsia="黑体"/>
          <w:sz w:val="20"/>
        </w:rPr>
      </w:pPr>
    </w:p>
    <w:p>
      <w:pPr>
        <w:pStyle w:val="12"/>
        <w:ind w:left="420" w:firstLine="0" w:firstLineChars="0"/>
        <w:textAlignment w:val="top"/>
        <w:rPr>
          <w:rFonts w:ascii="黑体" w:hAnsi="黑体" w:eastAsia="黑体"/>
          <w:sz w:val="20"/>
        </w:rPr>
      </w:pPr>
    </w:p>
    <w:p>
      <w:pPr>
        <w:pStyle w:val="12"/>
        <w:ind w:left="420" w:firstLine="0" w:firstLineChars="0"/>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办理流程图</w:t>
      </w:r>
    </w:p>
    <w:p>
      <w:pPr>
        <w:textAlignment w:val="top"/>
        <w:rPr>
          <w:rFonts w:ascii="黑体" w:hAnsi="黑体" w:eastAsia="黑体"/>
          <w:sz w:val="20"/>
        </w:rPr>
      </w:pPr>
      <w:r>
        <w:rPr>
          <w:rFonts w:hint="eastAsia" w:ascii="黑体" w:hAnsi="黑体" w:eastAsia="黑体"/>
          <w:sz w:val="20"/>
        </w:rPr>
        <w:drawing>
          <wp:inline distT="0" distB="0" distL="114300" distR="114300">
            <wp:extent cx="5414010" cy="7519670"/>
            <wp:effectExtent l="0" t="0" r="15240" b="50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4"/>
                    <a:stretch>
                      <a:fillRect/>
                    </a:stretch>
                  </pic:blipFill>
                  <pic:spPr>
                    <a:xfrm>
                      <a:off x="0" y="0"/>
                      <a:ext cx="5414010" cy="7519670"/>
                    </a:xfrm>
                    <a:prstGeom prst="rect">
                      <a:avLst/>
                    </a:prstGeom>
                  </pic:spPr>
                </pic:pic>
              </a:graphicData>
            </a:graphic>
          </wp:inline>
        </w:drawing>
      </w: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办理材料</w:t>
      </w:r>
    </w:p>
    <w:tbl>
      <w:tblPr>
        <w:tblStyle w:val="5"/>
        <w:tblW w:w="9280" w:type="dxa"/>
        <w:tblInd w:w="93" w:type="dxa"/>
        <w:tblLayout w:type="autofit"/>
        <w:tblCellMar>
          <w:top w:w="0" w:type="dxa"/>
          <w:left w:w="108" w:type="dxa"/>
          <w:bottom w:w="0" w:type="dxa"/>
          <w:right w:w="108" w:type="dxa"/>
        </w:tblCellMar>
      </w:tblPr>
      <w:tblGrid>
        <w:gridCol w:w="940"/>
        <w:gridCol w:w="1080"/>
        <w:gridCol w:w="1080"/>
        <w:gridCol w:w="1096"/>
        <w:gridCol w:w="1064"/>
        <w:gridCol w:w="1080"/>
        <w:gridCol w:w="2940"/>
      </w:tblGrid>
      <w:tr>
        <w:tblPrEx>
          <w:tblCellMar>
            <w:top w:w="0" w:type="dxa"/>
            <w:left w:w="108" w:type="dxa"/>
            <w:bottom w:w="0" w:type="dxa"/>
            <w:right w:w="108" w:type="dxa"/>
          </w:tblCellMar>
        </w:tblPrEx>
        <w:trPr>
          <w:trHeight w:val="660" w:hRule="atLeast"/>
        </w:trPr>
        <w:tc>
          <w:tcPr>
            <w:tcW w:w="94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序号</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提交材料名称</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原件/复印件</w:t>
            </w:r>
          </w:p>
        </w:tc>
        <w:tc>
          <w:tcPr>
            <w:tcW w:w="1096"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来源渠道</w:t>
            </w:r>
          </w:p>
        </w:tc>
        <w:tc>
          <w:tcPr>
            <w:tcW w:w="1064"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份数</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纸质/电子版</w:t>
            </w:r>
          </w:p>
        </w:tc>
        <w:tc>
          <w:tcPr>
            <w:tcW w:w="294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特定要求</w:t>
            </w:r>
          </w:p>
        </w:tc>
      </w:tr>
      <w:tr>
        <w:tblPrEx>
          <w:tblCellMar>
            <w:top w:w="0" w:type="dxa"/>
            <w:left w:w="108" w:type="dxa"/>
            <w:bottom w:w="0" w:type="dxa"/>
            <w:right w:w="108" w:type="dxa"/>
          </w:tblCellMar>
        </w:tblPrEx>
        <w:trPr>
          <w:trHeight w:val="1813"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《食品经营许可证注销申请书》</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1096"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1064"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2</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食品经营许可证正本、副本原件</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1096"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1064"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3</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《企业授权委托书》原件和经办人身份证复印件(仅属委托办理的需提供)</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1096"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1064"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bl>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办理结果样本</w:t>
      </w: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widowControl/>
        <w:ind w:firstLine="3780" w:firstLineChars="1800"/>
        <w:jc w:val="left"/>
        <w:textAlignment w:val="top"/>
        <w:rPr>
          <w:rFonts w:ascii="黑体" w:hAnsi="黑体" w:eastAsia="黑体" w:cs="宋体"/>
          <w:color w:val="333333"/>
          <w:kern w:val="0"/>
        </w:rPr>
      </w:pPr>
      <w:r>
        <w:rPr>
          <w:rFonts w:hint="eastAsia" w:ascii="黑体" w:hAnsi="黑体" w:eastAsia="黑体" w:cs="宋体"/>
          <w:color w:val="333333"/>
          <w:kern w:val="0"/>
        </w:rPr>
        <w:t>暂无</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44B97"/>
    <w:multiLevelType w:val="multilevel"/>
    <w:tmpl w:val="74844B9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4A91"/>
    <w:rsid w:val="00007727"/>
    <w:rsid w:val="000F12F4"/>
    <w:rsid w:val="00125C1D"/>
    <w:rsid w:val="00174861"/>
    <w:rsid w:val="00190295"/>
    <w:rsid w:val="002548A5"/>
    <w:rsid w:val="00254A91"/>
    <w:rsid w:val="002D62C3"/>
    <w:rsid w:val="00302145"/>
    <w:rsid w:val="003626AF"/>
    <w:rsid w:val="00376BC4"/>
    <w:rsid w:val="003D08DB"/>
    <w:rsid w:val="00415802"/>
    <w:rsid w:val="0049354C"/>
    <w:rsid w:val="004F1E89"/>
    <w:rsid w:val="006052A6"/>
    <w:rsid w:val="00660E5F"/>
    <w:rsid w:val="006A1A84"/>
    <w:rsid w:val="006D530D"/>
    <w:rsid w:val="006E2327"/>
    <w:rsid w:val="00763407"/>
    <w:rsid w:val="007762C5"/>
    <w:rsid w:val="007A383F"/>
    <w:rsid w:val="007B570B"/>
    <w:rsid w:val="00A076CE"/>
    <w:rsid w:val="00A84003"/>
    <w:rsid w:val="00A937C7"/>
    <w:rsid w:val="00B73072"/>
    <w:rsid w:val="00BA7122"/>
    <w:rsid w:val="00C14C7E"/>
    <w:rsid w:val="00C35DE0"/>
    <w:rsid w:val="00C37844"/>
    <w:rsid w:val="00CB146A"/>
    <w:rsid w:val="00CC7597"/>
    <w:rsid w:val="00D0115B"/>
    <w:rsid w:val="00D37C26"/>
    <w:rsid w:val="00DD6B5A"/>
    <w:rsid w:val="00E94BD2"/>
    <w:rsid w:val="00ED5C15"/>
    <w:rsid w:val="00F012B4"/>
    <w:rsid w:val="00F07F73"/>
    <w:rsid w:val="00F535B4"/>
    <w:rsid w:val="00F83C19"/>
    <w:rsid w:val="0CA10E6A"/>
    <w:rsid w:val="10924A53"/>
    <w:rsid w:val="161A284B"/>
    <w:rsid w:val="1B4B43A7"/>
    <w:rsid w:val="4C503BCE"/>
    <w:rsid w:val="50DA0643"/>
    <w:rsid w:val="56233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333333"/>
      <w:u w:val="none"/>
    </w:rPr>
  </w:style>
  <w:style w:type="character" w:styleId="9">
    <w:name w:val="Hyperlink"/>
    <w:basedOn w:val="6"/>
    <w:semiHidden/>
    <w:unhideWhenUsed/>
    <w:qFormat/>
    <w:uiPriority w:val="99"/>
    <w:rPr>
      <w:color w:val="333333"/>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 w:type="paragraph" w:customStyle="1" w:styleId="14">
    <w:name w:val="封面标准名称"/>
    <w:basedOn w:val="1"/>
    <w:qFormat/>
    <w:uiPriority w:val="0"/>
    <w:pPr>
      <w:spacing w:line="680" w:lineRule="exact"/>
      <w:jc w:val="center"/>
    </w:pPr>
    <w:rPr>
      <w:rFonts w:hint="eastAsia" w:ascii="黑体" w:hAnsi="Times New Roman" w:eastAsia="黑体" w:cs="Times New Roman"/>
      <w:kern w:val="0"/>
      <w:sz w:val="52"/>
      <w:szCs w:val="20"/>
    </w:rPr>
  </w:style>
  <w:style w:type="character" w:customStyle="1" w:styleId="15">
    <w:name w:val="s11"/>
    <w:basedOn w:val="6"/>
    <w:qFormat/>
    <w:uiPriority w:val="0"/>
    <w:rPr>
      <w:rFonts w:hint="eastAsia" w:ascii="宋体" w:hAnsi="宋体" w:eastAsia="宋体" w:cs="宋体"/>
      <w:sz w:val="32"/>
      <w:szCs w:val="32"/>
    </w:rPr>
  </w:style>
  <w:style w:type="character" w:customStyle="1" w:styleId="16">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289</Words>
  <Characters>1653</Characters>
  <Lines>13</Lines>
  <Paragraphs>3</Paragraphs>
  <TotalTime>0</TotalTime>
  <ScaleCrop>false</ScaleCrop>
  <LinksUpToDate>false</LinksUpToDate>
  <CharactersWithSpaces>1939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2020-03-25T07:54:00Z</dcterms:created>
  <dc:creator>pc</dc:creator>
  <cp:lastModifiedBy>pc</cp:lastModifiedBy>
  <cp:lastPrinted>2020-06-23T09:05:00Z</cp:lastPrinted>
  <dcterms:modified xsi:type="dcterms:W3CDTF">2020-12-07T07:08:51Z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