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555964603XXK82253003</w:t>
      </w:r>
    </w:p>
    <w:p>
      <w:pPr>
        <w:spacing w:line="200" w:lineRule="exact"/>
        <w:rPr>
          <w:sz w:val="20"/>
          <w:szCs w:val="20"/>
        </w:rPr>
      </w:pPr>
    </w:p>
    <w:p>
      <w:pPr>
        <w:spacing w:line="200" w:lineRule="exact"/>
        <w:rPr>
          <w:sz w:val="20"/>
          <w:szCs w:val="20"/>
        </w:rPr>
      </w:pPr>
    </w:p>
    <w:p>
      <w:pPr>
        <w:spacing w:line="221" w:lineRule="exact"/>
        <w:rPr>
          <w:sz w:val="52"/>
          <w:szCs w:val="52"/>
        </w:rPr>
      </w:pPr>
    </w:p>
    <w:p>
      <w:pPr>
        <w:spacing w:line="594" w:lineRule="exact"/>
        <w:jc w:val="center"/>
        <w:rPr>
          <w:sz w:val="20"/>
          <w:szCs w:val="20"/>
        </w:rPr>
      </w:pPr>
      <w:r>
        <w:rPr>
          <w:rFonts w:hint="eastAsia" w:ascii="黑体" w:hAnsi="黑体" w:eastAsia="黑体" w:cs="黑体"/>
          <w:sz w:val="52"/>
          <w:szCs w:val="52"/>
          <w:lang w:eastAsia="zh-CN"/>
        </w:rPr>
        <w:t>文艺表演团体从事营业性演出活动延续</w:t>
      </w: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rPr>
        <w:t>0</w:t>
      </w:r>
      <w:r>
        <w:rPr>
          <w:rFonts w:hint="eastAsia" w:ascii="黑体" w:hAnsi="黑体" w:eastAsia="黑体" w:cs="黑体"/>
          <w:sz w:val="28"/>
          <w:szCs w:val="28"/>
          <w:lang w:val="en-US" w:eastAsia="zh-CN"/>
        </w:rPr>
        <w:t>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rPr>
        <w:t>0</w:t>
      </w:r>
      <w:r>
        <w:rPr>
          <w:rFonts w:hint="eastAsia" w:ascii="黑体" w:hAnsi="黑体" w:eastAsia="黑体" w:cs="黑体"/>
          <w:sz w:val="27"/>
          <w:szCs w:val="27"/>
          <w:lang w:val="en-US" w:eastAsia="zh-CN"/>
        </w:rPr>
        <w:t>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rPr>
        <w:t>文艺表演团体从事营业性演出活动延续</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20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s="宋体"/>
                <w:color w:val="000000" w:themeColor="text1"/>
                <w:sz w:val="23"/>
                <w:szCs w:val="23"/>
                <w14:textFill>
                  <w14:solidFill>
                    <w14:schemeClr w14:val="tx1"/>
                  </w14:solidFill>
                </w14:textFill>
              </w:rPr>
              <w:t>有与其业务相适应的专职演员和器材设备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文艺表演团体从事营业性演出活动审批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法定办结时限说明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w:t>
            </w:r>
            <w:r>
              <w:rPr>
                <w:rStyle w:val="13"/>
                <w:rFonts w:hint="eastAsia" w:ascii="宋体" w:hAnsi="宋体" w:eastAsia="宋体"/>
                <w:color w:val="000000" w:themeColor="text1"/>
                <w:sz w:val="23"/>
                <w:szCs w:val="23"/>
                <w:lang w:val="en-US" w:eastAsia="zh-CN"/>
                <w14:textFill>
                  <w14:solidFill>
                    <w14:schemeClr w14:val="tx1"/>
                  </w14:solidFill>
                </w14:textFill>
              </w:rPr>
              <w:t>2</w:t>
            </w:r>
            <w:r>
              <w:rPr>
                <w:rStyle w:val="13"/>
                <w:rFonts w:hint="eastAsia" w:ascii="宋体" w:hAnsi="宋体" w:eastAsia="宋体"/>
                <w:color w:val="000000" w:themeColor="text1"/>
                <w:sz w:val="23"/>
                <w:szCs w:val="23"/>
                <w14:textFill>
                  <w14:solidFill>
                    <w14:schemeClr w14:val="tx1"/>
                  </w14:solidFill>
                </w14:textFill>
              </w:rPr>
              <w:t>、9、10、11、12”路公交车到建设路北段东北角县行政服务中心下车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1.受理 申请材料齐全且符合法定形式的，应当场或在5个工作日内作出受理决定，并出具《行政许可申请受理通知书》和《申请材料清单》。申请材料不全或不符合法定形式的，应当场或在5个工作日内出具《行政许可申请材料补正告知书》，一次告知申报单位需要补正的全部内容。逾期不告知的，视为受理。2.审核与决定 对申请材料进行审核作出决定。其中，作出许可决定的，向申请人颁发批准文书；作出不予许可决定的，书面告知申请人并说明理由，告知申请人享有依法申请行政复议或者提起行政诉讼的权利。</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营业性演出管理条例》（2008年7月22日国务院令第528号，2016年2月6日予以修改）第六条：文艺表演团体申请从事营业性演出活动，应当有与其业务相适应的专职演员和器材设备，并向县级人民政府文化主管部门提出申请；演出经纪机构申请从事营业性演出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rPr>
          <w:rFonts w:hint="eastAsia"/>
          <w:sz w:val="24"/>
          <w:szCs w:val="24"/>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hint="eastAsia" w:ascii="黑体" w:hAnsi="黑体" w:eastAsia="黑体" w:cs="宋体"/>
          <w:sz w:val="21"/>
          <w:szCs w:val="21"/>
        </w:rPr>
      </w:pP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exact"/>
        <w:ind w:right="40"/>
        <w:jc w:val="both"/>
        <w:rPr>
          <w:sz w:val="20"/>
          <w:szCs w:val="20"/>
        </w:rPr>
      </w:pPr>
    </w:p>
    <w:p>
      <w:pPr>
        <w:spacing w:line="20" w:lineRule="exact"/>
        <w:rPr>
          <w:sz w:val="20"/>
          <w:szCs w:val="20"/>
        </w:rPr>
      </w:pPr>
      <w:r>
        <w:rPr>
          <w:rFonts w:hint="eastAsia"/>
          <w:sz w:val="20"/>
          <w:szCs w:val="20"/>
        </w:rPr>
        <w:t xml:space="preserve">     </w:t>
      </w:r>
    </w:p>
    <w:p>
      <w:pPr>
        <w:jc w:val="both"/>
        <w:rPr>
          <w:rFonts w:hint="eastAsia" w:eastAsiaTheme="minorEastAsia"/>
          <w:lang w:eastAsia="zh-CN"/>
        </w:rPr>
      </w:pPr>
      <w:r>
        <w:rPr>
          <w:rFonts w:hint="eastAsia" w:eastAsiaTheme="minorEastAsia"/>
          <w:lang w:eastAsia="zh-CN"/>
        </w:rPr>
        <w:drawing>
          <wp:inline distT="0" distB="0" distL="114300" distR="114300">
            <wp:extent cx="5269865" cy="5579110"/>
            <wp:effectExtent l="0" t="0" r="6985" b="2540"/>
            <wp:docPr id="1" name="图片 1" descr="文艺表演团体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艺表演团体流程图"/>
                    <pic:cNvPicPr>
                      <a:picLocks noChangeAspect="1"/>
                    </pic:cNvPicPr>
                  </pic:nvPicPr>
                  <pic:blipFill>
                    <a:blip r:embed="rId4"/>
                    <a:stretch>
                      <a:fillRect/>
                    </a:stretch>
                  </pic:blipFill>
                  <pic:spPr>
                    <a:xfrm>
                      <a:off x="0" y="0"/>
                      <a:ext cx="5269865" cy="5579110"/>
                    </a:xfrm>
                    <a:prstGeom prst="rect">
                      <a:avLst/>
                    </a:prstGeom>
                  </pic:spPr>
                </pic:pic>
              </a:graphicData>
            </a:graphic>
          </wp:inline>
        </w:drawing>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540" w:type="dxa"/>
        <w:tblInd w:w="10" w:type="dxa"/>
        <w:tblLayout w:type="fixed"/>
        <w:tblCellMar>
          <w:top w:w="0" w:type="dxa"/>
          <w:left w:w="0" w:type="dxa"/>
          <w:bottom w:w="0" w:type="dxa"/>
          <w:right w:w="0" w:type="dxa"/>
        </w:tblCellMar>
      </w:tblPr>
      <w:tblGrid>
        <w:gridCol w:w="439"/>
        <w:gridCol w:w="3487"/>
        <w:gridCol w:w="1197"/>
        <w:gridCol w:w="564"/>
        <w:gridCol w:w="962"/>
        <w:gridCol w:w="2891"/>
      </w:tblGrid>
      <w:tr>
        <w:trPr>
          <w:trHeight w:val="469" w:hRule="atLeast"/>
        </w:trPr>
        <w:tc>
          <w:tcPr>
            <w:tcW w:w="439" w:type="dxa"/>
            <w:tcBorders>
              <w:bottom w:val="single" w:color="auto" w:sz="8" w:space="0"/>
            </w:tcBorders>
            <w:vAlign w:val="bottom"/>
          </w:tcPr>
          <w:p>
            <w:pPr>
              <w:rPr>
                <w:sz w:val="18"/>
                <w:szCs w:val="18"/>
              </w:rPr>
            </w:pPr>
          </w:p>
        </w:tc>
        <w:tc>
          <w:tcPr>
            <w:tcW w:w="3487" w:type="dxa"/>
            <w:tcBorders>
              <w:bottom w:val="single" w:color="auto" w:sz="8" w:space="0"/>
            </w:tcBorders>
            <w:vAlign w:val="bottom"/>
          </w:tcPr>
          <w:p>
            <w:pPr>
              <w:rPr>
                <w:sz w:val="18"/>
                <w:szCs w:val="18"/>
              </w:rPr>
            </w:pPr>
          </w:p>
        </w:tc>
        <w:tc>
          <w:tcPr>
            <w:tcW w:w="1197" w:type="dxa"/>
            <w:tcBorders>
              <w:bottom w:val="single" w:color="auto" w:sz="8" w:space="0"/>
            </w:tcBorders>
            <w:vAlign w:val="bottom"/>
          </w:tcPr>
          <w:p>
            <w:pPr>
              <w:rPr>
                <w:sz w:val="18"/>
                <w:szCs w:val="18"/>
              </w:rPr>
            </w:pPr>
          </w:p>
        </w:tc>
        <w:tc>
          <w:tcPr>
            <w:tcW w:w="564" w:type="dxa"/>
            <w:tcBorders>
              <w:bottom w:val="single" w:color="auto" w:sz="8" w:space="0"/>
            </w:tcBorders>
            <w:vAlign w:val="bottom"/>
          </w:tcPr>
          <w:p>
            <w:pPr>
              <w:rPr>
                <w:sz w:val="18"/>
                <w:szCs w:val="18"/>
              </w:rPr>
            </w:pPr>
          </w:p>
        </w:tc>
        <w:tc>
          <w:tcPr>
            <w:tcW w:w="962" w:type="dxa"/>
            <w:tcBorders>
              <w:bottom w:val="single" w:color="auto" w:sz="8" w:space="0"/>
            </w:tcBorders>
            <w:vAlign w:val="bottom"/>
          </w:tcPr>
          <w:p>
            <w:pPr>
              <w:rPr>
                <w:sz w:val="18"/>
                <w:szCs w:val="18"/>
              </w:rPr>
            </w:pPr>
          </w:p>
        </w:tc>
        <w:tc>
          <w:tcPr>
            <w:tcW w:w="2891"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650" w:hRule="atLeast"/>
        </w:trPr>
        <w:tc>
          <w:tcPr>
            <w:tcW w:w="439"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48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97"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6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6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891"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"http://59.207.104.2:8060/smp/asmp/jsp/service/service_edit.jsp?unid=C2B5430470F63ED367686912501E93D8&amp;parentunid=undefined&amp;deptunid=001003027006013003023&amp;savelogo=1&amp;dialogId=2E43A79F6428539CDCB3501D91AED5D1"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t>文艺表演团体申请登记表</w:t>
            </w:r>
            <w:r>
              <w:rPr>
                <w:rFonts w:hint="eastAsia"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2</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"http://59.207.104.2:8060/smp/asmp/jsp/service/service_edit.jsp?unid=C2B5430470F63ED367686912501E93D8&amp;parentunid=undefined&amp;deptunid=001003027006013003023&amp;savelogo=1&amp;dialogId=2E43A79F6428539CDCB3501D91AED5D1"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t>原《营业性演出许可证》正、副本</w:t>
            </w:r>
            <w:r>
              <w:rPr>
                <w:rFonts w:hint="eastAsia"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r>
        <w:tblPrEx>
          <w:tblCellMar>
            <w:top w:w="0" w:type="dxa"/>
            <w:left w:w="0" w:type="dxa"/>
            <w:bottom w:w="0" w:type="dxa"/>
            <w:right w:w="0" w:type="dxa"/>
          </w:tblCellMar>
        </w:tblPrEx>
        <w:trPr>
          <w:trHeight w:val="953" w:hRule="atLeast"/>
        </w:trPr>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lang w:val="en-US" w:eastAsia="zh-CN"/>
              </w:rPr>
            </w:pPr>
            <w:r>
              <w:rPr>
                <w:rFonts w:hint="eastAsia" w:asciiTheme="minorEastAsia" w:hAnsiTheme="minorEastAsia" w:cstheme="minorEastAsia"/>
                <w:sz w:val="18"/>
                <w:szCs w:val="18"/>
                <w:lang w:val="en-US" w:eastAsia="zh-CN"/>
              </w:rPr>
              <w:t>3</w:t>
            </w:r>
          </w:p>
        </w:tc>
        <w:tc>
          <w:tcPr>
            <w:tcW w:w="348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fldChar w:fldCharType="begin"/>
            </w:r>
            <w:r>
              <w:rPr>
                <w:rFonts w:hint="eastAsia" w:asciiTheme="minorEastAsia" w:hAnsiTheme="minorEastAsia" w:cstheme="minorEastAsia"/>
                <w:sz w:val="18"/>
                <w:szCs w:val="18"/>
              </w:rPr>
              <w:instrText xml:space="preserve"> HYPERLINK "http://59.207.104.2:8060/smp/asmp/jsp/service/service_edit.jsp?unid=C2B5430470F63ED367686912501E93D8&amp;parentunid=undefined&amp;deptunid=001003027006013003023&amp;savelogo=1&amp;dialogId=2E43A79F6428539CDCB3501D91AED5D1" </w:instrText>
            </w:r>
            <w:r>
              <w:rPr>
                <w:rFonts w:hint="eastAsia" w:asciiTheme="minorEastAsia" w:hAnsiTheme="minorEastAsia" w:cstheme="minorEastAsia"/>
                <w:sz w:val="18"/>
                <w:szCs w:val="18"/>
              </w:rPr>
              <w:fldChar w:fldCharType="separate"/>
            </w:r>
            <w:r>
              <w:rPr>
                <w:rFonts w:hint="eastAsia" w:asciiTheme="minorEastAsia" w:hAnsiTheme="minorEastAsia" w:cstheme="minorEastAsia"/>
                <w:sz w:val="18"/>
                <w:szCs w:val="18"/>
              </w:rPr>
              <w:t>工商营业执照副本复印件</w:t>
            </w:r>
            <w:r>
              <w:rPr>
                <w:rFonts w:hint="eastAsia" w:asciiTheme="minorEastAsia" w:hAnsiTheme="minorEastAsia" w:cstheme="minorEastAsia"/>
                <w:sz w:val="18"/>
                <w:szCs w:val="18"/>
              </w:rPr>
              <w:fldChar w:fldCharType="end"/>
            </w:r>
          </w:p>
        </w:tc>
        <w:tc>
          <w:tcPr>
            <w:tcW w:w="11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lang w:eastAsia="zh-CN"/>
              </w:rPr>
            </w:pPr>
            <w:r>
              <w:rPr>
                <w:rFonts w:hint="eastAsia" w:asciiTheme="minorEastAsia" w:hAnsiTheme="minorEastAsia" w:cstheme="minorEastAsia"/>
                <w:sz w:val="18"/>
                <w:szCs w:val="18"/>
                <w:lang w:eastAsia="zh-CN"/>
              </w:rPr>
              <w:t>复印件</w:t>
            </w:r>
          </w:p>
        </w:tc>
        <w:tc>
          <w:tcPr>
            <w:tcW w:w="5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1</w:t>
            </w:r>
          </w:p>
        </w:tc>
        <w:tc>
          <w:tcPr>
            <w:tcW w:w="9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纸质</w:t>
            </w:r>
          </w:p>
        </w:tc>
        <w:tc>
          <w:tcPr>
            <w:tcW w:w="28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3" name="图片 3" descr="营业性演出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营业性演出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6215DB6"/>
    <w:rsid w:val="07827580"/>
    <w:rsid w:val="08037086"/>
    <w:rsid w:val="0B8E076E"/>
    <w:rsid w:val="0DB7066D"/>
    <w:rsid w:val="0ECC0C41"/>
    <w:rsid w:val="0FBC36D5"/>
    <w:rsid w:val="124D7DB4"/>
    <w:rsid w:val="12585740"/>
    <w:rsid w:val="146D7940"/>
    <w:rsid w:val="15E57C9A"/>
    <w:rsid w:val="165B2E3B"/>
    <w:rsid w:val="1F834E52"/>
    <w:rsid w:val="1FD67A86"/>
    <w:rsid w:val="24A3524A"/>
    <w:rsid w:val="2C066B03"/>
    <w:rsid w:val="2C9B1C8D"/>
    <w:rsid w:val="2F2F57B8"/>
    <w:rsid w:val="30A33BDE"/>
    <w:rsid w:val="315C0E73"/>
    <w:rsid w:val="338147DA"/>
    <w:rsid w:val="34DC43AF"/>
    <w:rsid w:val="35266AB5"/>
    <w:rsid w:val="3D7F5D67"/>
    <w:rsid w:val="3DCB6045"/>
    <w:rsid w:val="46B04AD5"/>
    <w:rsid w:val="46EF768F"/>
    <w:rsid w:val="491768F6"/>
    <w:rsid w:val="4C2C4447"/>
    <w:rsid w:val="4D0B241B"/>
    <w:rsid w:val="4DF8567D"/>
    <w:rsid w:val="4F542513"/>
    <w:rsid w:val="4F726E2D"/>
    <w:rsid w:val="4FAB398C"/>
    <w:rsid w:val="53535D47"/>
    <w:rsid w:val="53B67FEA"/>
    <w:rsid w:val="570F6FEC"/>
    <w:rsid w:val="573D6E5A"/>
    <w:rsid w:val="58C25F45"/>
    <w:rsid w:val="5F0F6127"/>
    <w:rsid w:val="61867AB2"/>
    <w:rsid w:val="629F3C84"/>
    <w:rsid w:val="67C6172D"/>
    <w:rsid w:val="688D212A"/>
    <w:rsid w:val="6D535020"/>
    <w:rsid w:val="6FE93B2A"/>
    <w:rsid w:val="72476900"/>
    <w:rsid w:val="77A06E80"/>
    <w:rsid w:val="78215C78"/>
    <w:rsid w:val="7A7B3CA8"/>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1337</Words>
  <Characters>1459</Characters>
  <Lines>19</Lines>
  <Paragraphs>5</Paragraphs>
  <TotalTime>0</TotalTime>
  <ScaleCrop>false</ScaleCrop>
  <LinksUpToDate>false</LinksUpToDate>
  <CharactersWithSpaces>1476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2023-01-03T07:44:50Z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06FF858AAC2B403E8C070A4DB41C06F5</vt:lpwstr>
  </property>
</Properties>
</file>