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56" w:lineRule="exact"/>
        <w:jc w:val="right"/>
        <w:rPr>
          <w:sz w:val="20"/>
          <w:szCs w:val="20"/>
        </w:rPr>
      </w:pPr>
    </w:p>
    <w:p>
      <w:pPr>
        <w:spacing w:line="256" w:lineRule="exact"/>
        <w:jc w:val="righ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340" w:lineRule="exact"/>
        <w:rPr>
          <w:sz w:val="20"/>
          <w:szCs w:val="20"/>
        </w:rPr>
      </w:pPr>
    </w:p>
    <w:p>
      <w:pPr>
        <w:spacing w:line="240" w:lineRule="exact"/>
        <w:jc w:val="center"/>
        <w:rPr>
          <w:sz w:val="20"/>
          <w:szCs w:val="20"/>
        </w:rPr>
      </w:pPr>
    </w:p>
    <w:p>
      <w:pPr>
        <w:spacing w:line="240" w:lineRule="exact"/>
        <w:jc w:val="center"/>
        <w:rPr>
          <w:sz w:val="20"/>
          <w:szCs w:val="20"/>
        </w:rPr>
      </w:pPr>
    </w:p>
    <w:p>
      <w:pPr>
        <w:spacing w:line="72" w:lineRule="exact"/>
        <w:rPr>
          <w:sz w:val="20"/>
          <w:szCs w:val="20"/>
        </w:rPr>
      </w:pPr>
    </w:p>
    <w:p>
      <w:pPr>
        <w:spacing w:line="240" w:lineRule="exact"/>
        <w:jc w:val="both"/>
        <w:rPr>
          <w:sz w:val="20"/>
          <w:szCs w:val="20"/>
        </w:rPr>
      </w:pPr>
    </w:p>
    <w:p>
      <w:pPr>
        <w:spacing w:line="200" w:lineRule="exact"/>
        <w:rPr>
          <w:sz w:val="20"/>
          <w:szCs w:val="20"/>
        </w:rPr>
      </w:pPr>
    </w:p>
    <w:p>
      <w:pPr>
        <w:spacing w:line="275" w:lineRule="exact"/>
        <w:rPr>
          <w:sz w:val="20"/>
          <w:szCs w:val="20"/>
        </w:rPr>
      </w:pPr>
    </w:p>
    <w:p>
      <w:pPr>
        <w:spacing w:line="308" w:lineRule="exact"/>
        <w:ind w:left="4740"/>
        <w:outlineLvl w:val="0"/>
        <w:rPr>
          <w:rFonts w:hint="eastAsia" w:ascii="黑体" w:hAnsi="黑体" w:eastAsia="黑体" w:cs="黑体"/>
          <w:sz w:val="27"/>
          <w:szCs w:val="27"/>
        </w:rPr>
      </w:pPr>
      <w:r>
        <w:rPr>
          <w:rFonts w:ascii="黑体" w:hAnsi="黑体" w:eastAsia="黑体" w:cs="黑体"/>
          <w:sz w:val="27"/>
          <w:szCs w:val="27"/>
        </w:rPr>
        <w:t>FWZN-</w:t>
      </w:r>
      <w:r>
        <w:rPr>
          <w:rFonts w:hint="eastAsia" w:ascii="黑体" w:hAnsi="黑体" w:eastAsia="黑体" w:cs="黑体"/>
          <w:sz w:val="27"/>
          <w:szCs w:val="27"/>
        </w:rPr>
        <w:t>55964603XXK81418007</w:t>
      </w:r>
    </w:p>
    <w:p>
      <w:pPr>
        <w:spacing w:line="200" w:lineRule="exact"/>
        <w:rPr>
          <w:sz w:val="20"/>
          <w:szCs w:val="20"/>
        </w:rPr>
      </w:pPr>
    </w:p>
    <w:p>
      <w:pPr>
        <w:spacing w:line="200" w:lineRule="exact"/>
        <w:rPr>
          <w:sz w:val="20"/>
          <w:szCs w:val="20"/>
        </w:rPr>
      </w:pPr>
    </w:p>
    <w:p>
      <w:pPr>
        <w:spacing w:line="594" w:lineRule="exact"/>
        <w:jc w:val="center"/>
        <w:rPr>
          <w:sz w:val="20"/>
          <w:szCs w:val="20"/>
        </w:rPr>
      </w:pPr>
      <w:r>
        <w:rPr>
          <w:rFonts w:hint="eastAsia" w:ascii="黑体" w:hAnsi="黑体" w:eastAsia="黑体" w:cs="黑体"/>
          <w:sz w:val="52"/>
          <w:szCs w:val="52"/>
        </w:rPr>
        <w:t>歌舞娱乐场所经营单位注销</w:t>
      </w:r>
      <w:r>
        <w:rPr>
          <w:rFonts w:ascii="黑体" w:hAnsi="黑体" w:eastAsia="黑体" w:cs="黑体"/>
          <w:sz w:val="52"/>
          <w:szCs w:val="52"/>
        </w:rPr>
        <w:t>服务指南</w:t>
      </w: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0" w:lineRule="exact"/>
        <w:rPr>
          <w:sz w:val="20"/>
          <w:szCs w:val="20"/>
        </w:rPr>
      </w:pPr>
    </w:p>
    <w:p>
      <w:pPr>
        <w:spacing w:line="203" w:lineRule="exact"/>
        <w:rPr>
          <w:sz w:val="20"/>
          <w:szCs w:val="20"/>
        </w:rPr>
      </w:pPr>
    </w:p>
    <w:p>
      <w:pPr>
        <w:tabs>
          <w:tab w:val="left" w:pos="7220"/>
        </w:tabs>
        <w:spacing w:line="320" w:lineRule="exact"/>
        <w:rPr>
          <w:sz w:val="20"/>
          <w:szCs w:val="20"/>
        </w:rPr>
      </w:pPr>
      <w:r>
        <w:rPr>
          <w:rFonts w:hint="eastAsia" w:ascii="黑体" w:hAnsi="黑体" w:eastAsia="黑体" w:cs="黑体"/>
          <w:sz w:val="28"/>
          <w:szCs w:val="28"/>
        </w:rPr>
        <w:t>20</w:t>
      </w:r>
      <w:r>
        <w:rPr>
          <w:rFonts w:hint="eastAsia" w:ascii="黑体" w:hAnsi="黑体" w:eastAsia="黑体" w:cs="黑体"/>
          <w:sz w:val="28"/>
          <w:szCs w:val="28"/>
          <w:lang w:val="en-US" w:eastAsia="zh-CN"/>
        </w:rPr>
        <w:t>20</w:t>
      </w:r>
      <w:r>
        <w:rPr>
          <w:rFonts w:ascii="黑体" w:hAnsi="黑体" w:eastAsia="黑体" w:cs="黑体"/>
          <w:sz w:val="28"/>
          <w:szCs w:val="28"/>
        </w:rPr>
        <w:t>-</w:t>
      </w:r>
      <w:r>
        <w:rPr>
          <w:rFonts w:hint="eastAsia" w:ascii="黑体" w:hAnsi="黑体" w:eastAsia="黑体" w:cs="黑体"/>
          <w:sz w:val="28"/>
          <w:szCs w:val="28"/>
          <w:lang w:val="en-US" w:eastAsia="zh-CN"/>
        </w:rPr>
        <w:t>06</w:t>
      </w:r>
      <w:r>
        <w:rPr>
          <w:rFonts w:ascii="黑体" w:hAnsi="黑体" w:eastAsia="黑体" w:cs="黑体"/>
          <w:sz w:val="28"/>
          <w:szCs w:val="28"/>
        </w:rPr>
        <w:t>-</w:t>
      </w:r>
      <w:r>
        <w:rPr>
          <w:rFonts w:hint="eastAsia" w:ascii="黑体" w:hAnsi="黑体" w:eastAsia="黑体" w:cs="黑体"/>
          <w:sz w:val="28"/>
          <w:szCs w:val="28"/>
          <w:lang w:val="en-US" w:eastAsia="zh-CN"/>
        </w:rPr>
        <w:t>22</w:t>
      </w:r>
      <w:r>
        <w:rPr>
          <w:rFonts w:ascii="黑体" w:hAnsi="黑体" w:eastAsia="黑体" w:cs="黑体"/>
          <w:sz w:val="28"/>
          <w:szCs w:val="28"/>
        </w:rPr>
        <w:t>发布</w:t>
      </w:r>
      <w:r>
        <w:rPr>
          <w:sz w:val="20"/>
          <w:szCs w:val="20"/>
        </w:rPr>
        <w:tab/>
      </w:r>
      <w:r>
        <w:rPr>
          <w:rFonts w:hint="eastAsia" w:ascii="黑体" w:hAnsi="黑体" w:eastAsia="黑体" w:cs="黑体"/>
          <w:sz w:val="27"/>
          <w:szCs w:val="27"/>
        </w:rPr>
        <w:t>20</w:t>
      </w:r>
      <w:r>
        <w:rPr>
          <w:rFonts w:hint="eastAsia" w:ascii="黑体" w:hAnsi="黑体" w:eastAsia="黑体" w:cs="黑体"/>
          <w:sz w:val="27"/>
          <w:szCs w:val="27"/>
          <w:lang w:val="en-US" w:eastAsia="zh-CN"/>
        </w:rPr>
        <w:t>20</w:t>
      </w:r>
      <w:r>
        <w:rPr>
          <w:rFonts w:ascii="黑体" w:hAnsi="黑体" w:eastAsia="黑体" w:cs="黑体"/>
          <w:sz w:val="27"/>
          <w:szCs w:val="27"/>
        </w:rPr>
        <w:t>-</w:t>
      </w:r>
      <w:r>
        <w:rPr>
          <w:rFonts w:hint="eastAsia" w:ascii="黑体" w:hAnsi="黑体" w:eastAsia="黑体" w:cs="黑体"/>
          <w:sz w:val="27"/>
          <w:szCs w:val="27"/>
          <w:lang w:val="en-US" w:eastAsia="zh-CN"/>
        </w:rPr>
        <w:t>06</w:t>
      </w:r>
      <w:r>
        <w:rPr>
          <w:rFonts w:ascii="黑体" w:hAnsi="黑体" w:eastAsia="黑体" w:cs="黑体"/>
          <w:sz w:val="27"/>
          <w:szCs w:val="27"/>
        </w:rPr>
        <w:t>-</w:t>
      </w:r>
      <w:r>
        <w:rPr>
          <w:rFonts w:hint="eastAsia" w:ascii="黑体" w:hAnsi="黑体" w:eastAsia="黑体" w:cs="黑体"/>
          <w:sz w:val="27"/>
          <w:szCs w:val="27"/>
          <w:lang w:val="en-US" w:eastAsia="zh-CN"/>
        </w:rPr>
        <w:t>22</w:t>
      </w:r>
      <w:r>
        <w:rPr>
          <w:rFonts w:ascii="黑体" w:hAnsi="黑体" w:eastAsia="黑体" w:cs="黑体"/>
          <w:sz w:val="27"/>
          <w:szCs w:val="27"/>
        </w:rPr>
        <w:t>实施</w:t>
      </w:r>
    </w:p>
    <w:p>
      <w:pPr>
        <w:spacing w:line="20" w:lineRule="exact"/>
        <w:rPr>
          <w:sz w:val="20"/>
          <w:szCs w:val="20"/>
        </w:rPr>
      </w:pPr>
      <w:r>
        <w:rPr>
          <w:sz w:val="20"/>
          <w:szCs w:val="20"/>
        </w:rPr>
        <mc:AlternateContent>
          <mc:Choice Requires="wps">
            <w:drawing>
              <wp:anchor distT="0" distB="0" distL="114300" distR="114300" simplePos="0" relativeHeight="251659264" behindDoc="1" locked="0" layoutInCell="0" allowOverlap="1">
                <wp:simplePos x="0" y="0"/>
                <wp:positionH relativeFrom="column">
                  <wp:posOffset>-1905</wp:posOffset>
                </wp:positionH>
                <wp:positionV relativeFrom="paragraph">
                  <wp:posOffset>1270</wp:posOffset>
                </wp:positionV>
                <wp:extent cx="5909310" cy="0"/>
                <wp:effectExtent l="0" t="0" r="0" b="0"/>
                <wp:wrapNone/>
                <wp:docPr id="36" name="Shape 1"/>
                <wp:cNvGraphicFramePr/>
                <a:graphic xmlns:a="http://schemas.openxmlformats.org/drawingml/2006/main">
                  <a:graphicData uri="http://schemas.microsoft.com/office/word/2010/wordprocessingShape">
                    <wps:wsp>
                      <wps:cNvCnPr/>
                      <wps:spPr>
                        <a:xfrm>
                          <a:off x="0" y="0"/>
                          <a:ext cx="5909310" cy="4763"/>
                        </a:xfrm>
                        <a:prstGeom prst="line">
                          <a:avLst/>
                        </a:prstGeom>
                        <a:solidFill>
                          <a:srgbClr val="FFFFFF"/>
                        </a:solidFill>
                        <a:ln w="16763">
                          <a:solidFill>
                            <a:srgbClr val="000000"/>
                          </a:solidFill>
                          <a:miter lim="800000"/>
                        </a:ln>
                        <a:effectLst/>
                      </wps:spPr>
                      <wps:bodyPr/>
                    </wps:wsp>
                  </a:graphicData>
                </a:graphic>
              </wp:anchor>
            </w:drawing>
          </mc:Choice>
          <mc:Fallback>
            <w:pict>
              <v:line id="Shape 1" o:spid="_x0000_s1026" o:spt="20" style="position:absolute;left:0pt;margin-left:-0.15pt;margin-top:0.1pt;height:0pt;width:465.3pt;z-index:-251657216;mso-width-relative:page;mso-height-relative:page;" fillcolor="#FFFFFF" filled="t" stroked="t" coordsize="21600,21600" o:allowincell="f" o:gfxdata="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uFK4u0QAA&#10;AAMBAAAPAAAAAAAAAAEAIAAAACIAAABkcnMvZG93bnJldi54bWxQSwECFAAUAAAACACHTuJAUCLb&#10;OLMBAACpAwAADgAAAAAAAAABACAAAAAgAQAAZHJzL2Uyb0RvYy54bWxQSwUGAAAAAAYABgBZAQAA&#10;RQUAAAAA&#10;">
                <v:fill on="t" focussize="0,0"/>
                <v:stroke weight="1.31992125984252pt" color="#000000" miterlimit="8" joinstyle="miter"/>
                <v:imagedata o:title=""/>
                <o:lock v:ext="edit" aspectratio="f"/>
              </v:line>
            </w:pict>
          </mc:Fallback>
        </mc:AlternateContent>
      </w:r>
    </w:p>
    <w:p>
      <w:pPr>
        <w:spacing w:line="200" w:lineRule="exact"/>
        <w:rPr>
          <w:sz w:val="20"/>
          <w:szCs w:val="20"/>
        </w:rPr>
      </w:pPr>
    </w:p>
    <w:p>
      <w:pPr>
        <w:spacing w:line="397" w:lineRule="exact"/>
        <w:rPr>
          <w:sz w:val="20"/>
          <w:szCs w:val="20"/>
        </w:rPr>
      </w:pPr>
    </w:p>
    <w:p>
      <w:pPr>
        <w:tabs>
          <w:tab w:val="left" w:pos="6260"/>
        </w:tabs>
        <w:spacing w:line="320" w:lineRule="exact"/>
        <w:ind w:left="3060"/>
        <w:rPr>
          <w:sz w:val="20"/>
          <w:szCs w:val="20"/>
        </w:rPr>
      </w:pPr>
      <w:r>
        <w:rPr>
          <w:rFonts w:hint="eastAsia" w:ascii="黑体" w:hAnsi="黑体" w:eastAsia="黑体" w:cs="黑体"/>
          <w:sz w:val="28"/>
          <w:szCs w:val="28"/>
          <w:lang w:val="en-US" w:eastAsia="zh-CN"/>
        </w:rPr>
        <w:t>西平县文化广电和旅游</w:t>
      </w:r>
      <w:r>
        <w:rPr>
          <w:rFonts w:ascii="黑体" w:hAnsi="黑体" w:eastAsia="黑体" w:cs="黑体"/>
          <w:sz w:val="28"/>
          <w:szCs w:val="28"/>
        </w:rPr>
        <w:t>局</w:t>
      </w:r>
      <w:r>
        <w:rPr>
          <w:sz w:val="20"/>
          <w:szCs w:val="20"/>
        </w:rPr>
        <w:tab/>
      </w:r>
      <w:r>
        <w:rPr>
          <w:rFonts w:ascii="黑体" w:hAnsi="黑体" w:eastAsia="黑体" w:cs="黑体"/>
          <w:sz w:val="27"/>
          <w:szCs w:val="27"/>
        </w:rPr>
        <w:t>发布</w:t>
      </w:r>
    </w:p>
    <w:p>
      <w:pPr>
        <w:sectPr>
          <w:pgSz w:w="11900" w:h="16838"/>
          <w:pgMar w:top="1409" w:right="1126" w:bottom="599" w:left="1420" w:header="0" w:footer="0" w:gutter="0"/>
          <w:cols w:equalWidth="0" w:num="1">
            <w:col w:w="9360"/>
          </w:cols>
        </w:sectPr>
      </w:pPr>
    </w:p>
    <w:p>
      <w:pPr>
        <w:spacing w:line="594" w:lineRule="exact"/>
        <w:jc w:val="center"/>
        <w:rPr>
          <w:sz w:val="20"/>
          <w:szCs w:val="20"/>
        </w:rPr>
      </w:pPr>
      <w:r>
        <w:rPr>
          <w:rFonts w:hint="eastAsia" w:ascii="黑体" w:hAnsi="黑体" w:eastAsia="黑体" w:cs="黑体"/>
          <w:sz w:val="32"/>
          <w:szCs w:val="32"/>
        </w:rPr>
        <w:t>歌舞娱乐场所经营单位注销</w:t>
      </w:r>
      <w:r>
        <w:rPr>
          <w:rFonts w:ascii="黑体" w:hAnsi="黑体" w:eastAsia="黑体" w:cs="黑体"/>
          <w:sz w:val="32"/>
          <w:szCs w:val="32"/>
        </w:rPr>
        <w:t>服务指南</w:t>
      </w:r>
    </w:p>
    <w:p>
      <w:pPr>
        <w:spacing w:line="200" w:lineRule="exact"/>
        <w:rPr>
          <w:sz w:val="24"/>
          <w:szCs w:val="24"/>
        </w:rPr>
      </w:pPr>
    </w:p>
    <w:p>
      <w:pPr>
        <w:spacing w:line="200" w:lineRule="exact"/>
        <w:rPr>
          <w:sz w:val="24"/>
          <w:szCs w:val="24"/>
        </w:rPr>
      </w:pPr>
    </w:p>
    <w:p>
      <w:pPr>
        <w:spacing w:line="200" w:lineRule="exact"/>
        <w:rPr>
          <w:sz w:val="24"/>
          <w:szCs w:val="24"/>
        </w:rPr>
      </w:pPr>
    </w:p>
    <w:tbl>
      <w:tblPr>
        <w:tblStyle w:val="8"/>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7"/>
        <w:gridCol w:w="2390"/>
        <w:gridCol w:w="2388"/>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事项类型</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eastAsia="zh-CN"/>
                <w14:textFill>
                  <w14:solidFill>
                    <w14:schemeClr w14:val="tx1"/>
                  </w14:solidFill>
                </w14:textFill>
              </w:rPr>
              <w:t>行政许可</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办件类型</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黑体" w:hAnsi="黑体" w:eastAsia="黑体" w:cs="黑体"/>
                <w:sz w:val="21"/>
                <w:szCs w:val="21"/>
                <w:lang w:val="en-US" w:eastAsia="zh-CN"/>
              </w:rPr>
              <w:t>西平县文化广电和旅游</w:t>
            </w:r>
            <w:r>
              <w:rPr>
                <w:rFonts w:ascii="黑体" w:hAnsi="黑体" w:eastAsia="黑体" w:cs="黑体"/>
                <w:sz w:val="21"/>
                <w:szCs w:val="21"/>
              </w:rPr>
              <w:t>局</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实施主体性质</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行使层级</w:t>
            </w:r>
          </w:p>
        </w:tc>
        <w:tc>
          <w:tcPr>
            <w:tcW w:w="2390"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县级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服务对象</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许可数量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无限制</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是否涉及中介</w:t>
            </w:r>
          </w:p>
        </w:tc>
        <w:tc>
          <w:tcPr>
            <w:tcW w:w="2391"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法定办结时限</w:t>
            </w:r>
            <w:r>
              <w:rPr>
                <w:rFonts w:hint="eastAsia" w:ascii="宋体" w:hAnsi="宋体" w:eastAsia="宋体"/>
                <w:b/>
                <w:color w:val="000000" w:themeColor="text1"/>
                <w:sz w:val="20"/>
                <w:szCs w:val="20"/>
                <w14:textFill>
                  <w14:solidFill>
                    <w14:schemeClr w14:val="tx1"/>
                  </w14:solidFill>
                </w14:textFill>
              </w:rPr>
              <w:t>（工作日）</w:t>
            </w:r>
          </w:p>
        </w:tc>
        <w:tc>
          <w:tcPr>
            <w:tcW w:w="2390" w:type="dxa"/>
            <w:vAlign w:val="center"/>
          </w:tcPr>
          <w:p>
            <w:pPr>
              <w:spacing w:line="420" w:lineRule="atLeast"/>
              <w:rPr>
                <w:rFonts w:hint="eastAsia" w:ascii="宋体" w:hAnsi="宋体" w:eastAsia="宋体" w:cs="宋体"/>
                <w:color w:val="000000" w:themeColor="text1"/>
                <w:sz w:val="23"/>
                <w:szCs w:val="23"/>
                <w:lang w:eastAsia="zh-CN"/>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10</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承诺办结时限</w:t>
            </w:r>
            <w:r>
              <w:rPr>
                <w:rFonts w:hint="eastAsia" w:ascii="宋体" w:hAnsi="宋体" w:eastAsia="宋体"/>
                <w:b/>
                <w:color w:val="000000" w:themeColor="text1"/>
                <w:sz w:val="20"/>
                <w:szCs w:val="20"/>
                <w14:textFill>
                  <w14:solidFill>
                    <w14:schemeClr w14:val="tx1"/>
                  </w14:solidFill>
                </w14:textFill>
              </w:rPr>
              <w:t>（工作日）</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是否收费</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否</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收费标准及依据</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不涉及收费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 xml:space="preserve">     </w:t>
            </w:r>
            <w:r>
              <w:rPr>
                <w:rFonts w:hint="eastAsia" w:ascii="宋体" w:hAnsi="宋体" w:eastAsia="宋体"/>
                <w:b/>
                <w:color w:val="000000" w:themeColor="text1"/>
                <w:sz w:val="23"/>
                <w:szCs w:val="23"/>
                <w14:textFill>
                  <w14:solidFill>
                    <w14:schemeClr w14:val="tx1"/>
                  </w14:solidFill>
                </w14:textFill>
              </w:rPr>
              <w:t>申请条件</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制作、贩卖、传播淫秽物品罪，走私、贩卖、运输、制造毒品罪，强奸罪，强制猥亵、侮辱妇女罪，赌博罪，洗钱罪，组织、领导、参加黑社会性质组织罪的；B、因犯罪曾被剥夺政治权利的；C、因吸食、注射毒品曾被强制戒毒的；D、因卖淫、嫖娼曾被处以行政拘留的。（2）因擅自从事娱乐场所经营活动被依法取缔的，其投资人员和负责人终身不得投资开办娱乐场所或者担任娱乐场所的法定代表人、负责人。娱乐场所被吊销或者撤销娱乐经营许可证的，自被吊销或者撤销之日起，其法定代表人、负责人5年内不得担任娱乐场所的法定代表人、负责人。（3）国家机关及其工作人员不得开办娱乐场所，不得参与或者变相参与娱乐场所的经营活动。与文化行政部门、公安部门的工作人员有夫妻关系、直系血亲关系、三代以内旁系血亲关系以及近姻亲关系的亲属，不得开办娱乐场所，不得参与或者变相参与娱乐场所的经营活动。（4）外国投资者可以与中国投资者依法设立中外合资经营、中外合作经营的娱乐场所，不得设立外商独资经营的娱乐场所。                                                                           2.设立地点</w:t>
            </w:r>
          </w:p>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娱乐场所不得设立在下列地点：（1）房屋规划、设计、使用用途中含有住宅；（2）博物馆、图书馆和被核定为文物保护单位的建筑物内；（3）居民住宅区；（4）教育法规定的中小学校周围；（5）依照《医疗机构管理条例》及实施细则规定取得《医疗机构执业许可证》的医院周围；（6）各级中国共产党委员会及其所属各工作部门、各级人民代表大会机关、各级人民政府及其所属各工作部门、各级政治协商会议机关、各级人民法院、检察院机关、各级民主党派机关周围；（7）车站、机场等人群密集的场所；（8）建筑物地下一层以下（不含地下一层）；（9）与危险化学品仓库毗连的区域，与危险化学品仓库的距离必须符合《危险化学品安全管理条例》的有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jc w:val="cente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行使内容</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lang w:eastAsia="zh-CN"/>
                <w14:textFill>
                  <w14:solidFill>
                    <w14:schemeClr w14:val="tx1"/>
                  </w14:solidFill>
                </w14:textFill>
              </w:rPr>
              <w:t>歌舞娱乐场所经营单位设立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法定办结时限</w:t>
            </w:r>
            <w:r>
              <w:rPr>
                <w:rFonts w:hint="eastAsia" w:ascii="宋体" w:hAnsi="宋体" w:eastAsia="宋体"/>
                <w:color w:val="000000" w:themeColor="text1"/>
                <w:sz w:val="23"/>
                <w:szCs w:val="23"/>
                <w:lang w:val="en-US" w:eastAsia="zh-CN"/>
                <w14:textFill>
                  <w14:solidFill>
                    <w14:schemeClr w14:val="tx1"/>
                  </w14:solidFill>
                </w14:textFill>
              </w:rPr>
              <w:t>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lang w:val="en-US" w:eastAsia="zh-CN"/>
                <w14:textFill>
                  <w14:solidFill>
                    <w14:schemeClr w14:val="tx1"/>
                  </w14:solidFill>
                </w14:textFill>
              </w:rPr>
              <w:t>根据</w:t>
            </w:r>
            <w:r>
              <w:rPr>
                <w:rFonts w:hint="eastAsia" w:ascii="宋体" w:hAnsi="宋体" w:eastAsia="宋体"/>
                <w:color w:val="000000" w:themeColor="text1"/>
                <w:sz w:val="23"/>
                <w:szCs w:val="23"/>
                <w14:textFill>
                  <w14:solidFill>
                    <w14:schemeClr w14:val="tx1"/>
                  </w14:solidFill>
                </w14:textFill>
              </w:rPr>
              <w:t>相关法律法规规定办理事项所需时限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承诺办结时限说明</w:t>
            </w:r>
          </w:p>
        </w:tc>
        <w:tc>
          <w:tcPr>
            <w:tcW w:w="7169" w:type="dxa"/>
            <w:gridSpan w:val="3"/>
            <w:vAlign w:val="center"/>
          </w:tcPr>
          <w:p>
            <w:pPr>
              <w:spacing w:line="420" w:lineRule="atLeast"/>
              <w:rPr>
                <w:rFonts w:hint="eastAsia" w:ascii="宋体" w:hAnsi="宋体" w:eastAsia="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承诺时间不包含听证、招标、拍卖、检验、检测、检疫、鉴定和专家评审、现场勘查、补件、上报（转报）等步骤所需要的时间。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办理结果类型</w:t>
            </w:r>
          </w:p>
        </w:tc>
        <w:tc>
          <w:tcPr>
            <w:tcW w:w="2390" w:type="dxa"/>
            <w:vAlign w:val="center"/>
          </w:tcPr>
          <w:p>
            <w:pPr>
              <w:spacing w:line="420" w:lineRule="atLeast"/>
              <w:ind w:firstLine="690" w:firstLineChars="300"/>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证照</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办理结果领取方式</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申请对象窗口领取或邮递送达结果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办理结果获取说明</w:t>
            </w:r>
          </w:p>
        </w:tc>
        <w:tc>
          <w:tcPr>
            <w:tcW w:w="7169" w:type="dxa"/>
            <w:gridSpan w:val="3"/>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一、</w:t>
            </w:r>
            <w:r>
              <w:rPr>
                <w:rStyle w:val="13"/>
                <w:rFonts w:hint="eastAsia" w:ascii="宋体" w:hAnsi="宋体" w:eastAsia="宋体"/>
                <w:color w:val="000000" w:themeColor="text1"/>
                <w:sz w:val="23"/>
                <w:szCs w:val="23"/>
                <w:lang w:eastAsia="zh-CN"/>
                <w14:textFill>
                  <w14:solidFill>
                    <w14:schemeClr w14:val="tx1"/>
                  </w14:solidFill>
                </w14:textFill>
              </w:rPr>
              <w:t>领取人需携带本人有效身份证原件</w:t>
            </w:r>
            <w:r>
              <w:rPr>
                <w:rStyle w:val="13"/>
                <w:rFonts w:hint="eastAsia" w:ascii="宋体" w:hAnsi="宋体" w:eastAsia="宋体"/>
                <w:color w:val="000000" w:themeColor="text1"/>
                <w:sz w:val="23"/>
                <w:szCs w:val="23"/>
                <w:lang w:val="en-US" w:eastAsia="zh-CN"/>
                <w14:textFill>
                  <w14:solidFill>
                    <w14:schemeClr w14:val="tx1"/>
                  </w14:solidFill>
                </w14:textFill>
              </w:rPr>
              <w:t>或</w:t>
            </w:r>
            <w:r>
              <w:rPr>
                <w:rStyle w:val="13"/>
                <w:rFonts w:hint="eastAsia" w:ascii="宋体" w:hAnsi="宋体" w:eastAsia="宋体"/>
                <w:color w:val="000000" w:themeColor="text1"/>
                <w:sz w:val="23"/>
                <w:szCs w:val="23"/>
                <w:lang w:eastAsia="zh-CN"/>
                <w14:textFill>
                  <w14:solidFill>
                    <w14:schemeClr w14:val="tx1"/>
                  </w14:solidFill>
                </w14:textFill>
              </w:rPr>
              <w:t>委托他人代为领取。</w:t>
            </w:r>
            <w:r>
              <w:rPr>
                <w:rStyle w:val="13"/>
                <w:rFonts w:hint="eastAsia" w:ascii="宋体" w:hAnsi="宋体" w:eastAsia="宋体"/>
                <w:color w:val="000000" w:themeColor="text1"/>
                <w:sz w:val="23"/>
                <w:szCs w:val="23"/>
                <w14:textFill>
                  <w14:solidFill>
                    <w14:schemeClr w14:val="tx1"/>
                  </w14:solidFill>
                </w14:textFill>
              </w:rPr>
              <w:t>二、</w:t>
            </w:r>
            <w:r>
              <w:rPr>
                <w:rStyle w:val="13"/>
                <w:rFonts w:hint="eastAsia" w:ascii="宋体" w:hAnsi="宋体" w:eastAsia="宋体"/>
                <w:color w:val="000000" w:themeColor="text1"/>
                <w:sz w:val="23"/>
                <w:szCs w:val="23"/>
                <w:lang w:eastAsia="zh-CN"/>
                <w14:textFill>
                  <w14:solidFill>
                    <w14:schemeClr w14:val="tx1"/>
                  </w14:solidFill>
                </w14:textFill>
              </w:rPr>
              <w:t>需要</w:t>
            </w:r>
            <w:r>
              <w:rPr>
                <w:rFonts w:hint="eastAsia" w:ascii="宋体" w:hAnsi="宋体" w:eastAsia="宋体"/>
                <w:color w:val="000000" w:themeColor="text1"/>
                <w:sz w:val="23"/>
                <w:szCs w:val="23"/>
                <w14:textFill>
                  <w14:solidFill>
                    <w14:schemeClr w14:val="tx1"/>
                  </w14:solidFill>
                </w14:textFill>
              </w:rPr>
              <w:t>邮递</w:t>
            </w:r>
            <w:r>
              <w:rPr>
                <w:rFonts w:hint="eastAsia" w:ascii="宋体" w:hAnsi="宋体" w:eastAsia="宋体"/>
                <w:color w:val="000000" w:themeColor="text1"/>
                <w:sz w:val="23"/>
                <w:szCs w:val="23"/>
                <w:lang w:eastAsia="zh-CN"/>
                <w14:textFill>
                  <w14:solidFill>
                    <w14:schemeClr w14:val="tx1"/>
                  </w14:solidFill>
                </w14:textFill>
              </w:rPr>
              <w:t>业务，</w:t>
            </w:r>
            <w:r>
              <w:rPr>
                <w:rFonts w:hint="eastAsia" w:ascii="宋体" w:hAnsi="宋体" w:eastAsia="宋体"/>
                <w:color w:val="000000" w:themeColor="text1"/>
                <w:sz w:val="23"/>
                <w:szCs w:val="23"/>
                <w:lang w:val="en-US" w:eastAsia="zh-CN"/>
                <w14:textFill>
                  <w14:solidFill>
                    <w14:schemeClr w14:val="tx1"/>
                  </w14:solidFill>
                </w14:textFill>
              </w:rPr>
              <w:t>需说</w:t>
            </w:r>
            <w:r>
              <w:rPr>
                <w:rStyle w:val="13"/>
                <w:rFonts w:hint="eastAsia" w:ascii="宋体" w:hAnsi="宋体" w:eastAsia="宋体"/>
                <w:color w:val="000000" w:themeColor="text1"/>
                <w:sz w:val="23"/>
                <w:szCs w:val="23"/>
                <w:lang w:eastAsia="zh-CN"/>
                <w14:textFill>
                  <w14:solidFill>
                    <w14:schemeClr w14:val="tx1"/>
                  </w14:solidFill>
                </w14:textFill>
              </w:rPr>
              <w:t>明邮递地址、邮递接收人、接收人电话、是否有指定的快递等情况。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办理形式</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政务服务中心大厅</w:t>
            </w:r>
            <w:r>
              <w:rPr>
                <w:rFonts w:hint="eastAsia" w:ascii="宋体" w:hAnsi="宋体" w:eastAsia="宋体"/>
                <w:color w:val="000000" w:themeColor="text1"/>
                <w:sz w:val="23"/>
                <w:szCs w:val="23"/>
                <w:lang w:eastAsia="zh-CN"/>
                <w14:textFill>
                  <w14:solidFill>
                    <w14:schemeClr w14:val="tx1"/>
                  </w14:solidFill>
                </w14:textFill>
              </w:rPr>
              <w:t>西平县文化广电和旅游局</w:t>
            </w:r>
            <w:r>
              <w:rPr>
                <w:rFonts w:hint="eastAsia" w:ascii="宋体" w:hAnsi="宋体" w:eastAsia="宋体"/>
                <w:color w:val="000000" w:themeColor="text1"/>
                <w:sz w:val="23"/>
                <w:szCs w:val="23"/>
                <w14:textFill>
                  <w14:solidFill>
                    <w14:schemeClr w14:val="tx1"/>
                  </w14:solidFill>
                </w14:textFill>
              </w:rPr>
              <w:t>、河南政务服务网</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通办范围</w:t>
            </w:r>
          </w:p>
        </w:tc>
        <w:tc>
          <w:tcPr>
            <w:tcW w:w="2391" w:type="dxa"/>
            <w:vAlign w:val="center"/>
          </w:tcPr>
          <w:p>
            <w:pPr>
              <w:spacing w:line="420" w:lineRule="atLeast"/>
              <w:rPr>
                <w:rFonts w:hint="eastAsia" w:ascii="宋体" w:hAnsi="宋体" w:eastAsia="宋体" w:cs="宋体"/>
                <w:color w:val="000000" w:themeColor="text1"/>
                <w:sz w:val="23"/>
                <w:szCs w:val="23"/>
                <w:lang w:val="en-US" w:eastAsia="zh-CN"/>
                <w14:textFill>
                  <w14:solidFill>
                    <w14:schemeClr w14:val="tx1"/>
                  </w14:solidFill>
                </w14:textFill>
              </w:rPr>
            </w:pPr>
            <w:r>
              <w:rPr>
                <w:rFonts w:hint="eastAsia" w:ascii="宋体" w:hAnsi="宋体" w:eastAsia="宋体" w:cs="宋体"/>
                <w:color w:val="000000" w:themeColor="text1"/>
                <w:sz w:val="23"/>
                <w:szCs w:val="23"/>
                <w:lang w:val="en-US" w:eastAsia="zh-CN"/>
                <w14:textFill>
                  <w14:solidFill>
                    <w14:schemeClr w14:val="tx1"/>
                  </w14:solidFill>
                </w14:textFill>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监督投诉</w:t>
            </w:r>
          </w:p>
        </w:tc>
        <w:tc>
          <w:tcPr>
            <w:tcW w:w="2390"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6263392</w:t>
            </w:r>
            <w:r>
              <w:rPr>
                <w:rFonts w:hint="eastAsia" w:ascii="宋体" w:hAnsi="宋体" w:eastAsia="宋体"/>
                <w:color w:val="000000" w:themeColor="text1"/>
                <w:sz w:val="23"/>
                <w:szCs w:val="23"/>
                <w14:textFill>
                  <w14:solidFill>
                    <w14:schemeClr w14:val="tx1"/>
                  </w14:solidFill>
                </w14:textFill>
              </w:rPr>
              <w:t>、0396-12345</w:t>
            </w:r>
          </w:p>
        </w:tc>
        <w:tc>
          <w:tcPr>
            <w:tcW w:w="2388"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咨询电话</w:t>
            </w:r>
          </w:p>
        </w:tc>
        <w:tc>
          <w:tcPr>
            <w:tcW w:w="2391" w:type="dxa"/>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Fonts w:hint="eastAsia" w:ascii="宋体" w:hAnsi="宋体" w:eastAsia="宋体"/>
                <w:color w:val="000000" w:themeColor="text1"/>
                <w:sz w:val="23"/>
                <w:szCs w:val="23"/>
                <w14:textFill>
                  <w14:solidFill>
                    <w14:schemeClr w14:val="tx1"/>
                  </w14:solidFill>
                </w14:textFill>
              </w:rPr>
              <w:t>0396-</w:t>
            </w:r>
            <w:r>
              <w:rPr>
                <w:rFonts w:hint="eastAsia" w:ascii="宋体" w:hAnsi="宋体" w:eastAsia="宋体"/>
                <w:color w:val="000000" w:themeColor="text1"/>
                <w:sz w:val="23"/>
                <w:szCs w:val="23"/>
                <w:lang w:val="en-US" w:eastAsia="zh-CN"/>
                <w14:textFill>
                  <w14:solidFill>
                    <w14:schemeClr w14:val="tx1"/>
                  </w14:solidFill>
                </w14:textFill>
              </w:rPr>
              <w:t>2756900</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最多到办事现场次数</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办公时间</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夏季工作日上午8:00至12:00、下午15:00至18:00；冬季工作日上午8:00至12:00、下午2:30至5:30（节假日除外）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办理地点</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驻马店市西平区（县）棠溪大道与龙泉大道交叉口东北角西平县行政服务中心街道二楼文广旅局室（窗口）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交通指引</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乘坐“103、9、10、11、12”路公交车到建设路北段东北角县行政服务中心下车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ascii="宋体" w:hAnsi="宋体" w:eastAsia="宋体" w:cs="宋体"/>
                <w:b/>
                <w:color w:val="000000" w:themeColor="text1"/>
                <w:sz w:val="23"/>
                <w:szCs w:val="23"/>
                <w14:textFill>
                  <w14:solidFill>
                    <w14:schemeClr w14:val="tx1"/>
                  </w14:solidFill>
                </w14:textFill>
              </w:rPr>
            </w:pPr>
            <w:r>
              <w:rPr>
                <w:rFonts w:hint="eastAsia" w:ascii="宋体" w:hAnsi="宋体" w:eastAsia="宋体"/>
                <w:b/>
                <w:color w:val="000000" w:themeColor="text1"/>
                <w:sz w:val="23"/>
                <w:szCs w:val="23"/>
                <w14:textFill>
                  <w14:solidFill>
                    <w14:schemeClr w14:val="tx1"/>
                  </w14:solidFill>
                </w14:textFill>
              </w:rPr>
              <w:t>办理查询</w:t>
            </w:r>
          </w:p>
        </w:tc>
        <w:tc>
          <w:tcPr>
            <w:tcW w:w="7169" w:type="dxa"/>
            <w:gridSpan w:val="3"/>
            <w:vAlign w:val="center"/>
          </w:tcPr>
          <w:p>
            <w:pPr>
              <w:spacing w:line="420" w:lineRule="atLeast"/>
              <w:rPr>
                <w:rFonts w:ascii="宋体" w:hAnsi="宋体" w:eastAsia="宋体" w:cs="宋体"/>
                <w:color w:val="000000" w:themeColor="text1"/>
                <w:sz w:val="23"/>
                <w:szCs w:val="23"/>
                <w14:textFill>
                  <w14:solidFill>
                    <w14:schemeClr w14:val="tx1"/>
                  </w14:solidFill>
                </w14:textFill>
              </w:rPr>
            </w:pPr>
            <w:r>
              <w:rPr>
                <w:rStyle w:val="13"/>
                <w:rFonts w:hint="eastAsia" w:ascii="宋体" w:hAnsi="宋体" w:eastAsia="宋体"/>
                <w:color w:val="000000" w:themeColor="text1"/>
                <w:sz w:val="23"/>
                <w:szCs w:val="23"/>
                <w14:textFill>
                  <w14:solidFill>
                    <w14:schemeClr w14:val="tx1"/>
                  </w14:solidFill>
                </w14:textFill>
              </w:rPr>
              <w:t>申请人可通过电话、河南政务服务网、河南政务服务网手机APP客户端、政务服务大厅窗口等方式查询该事项的办理进程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7" w:type="dxa"/>
            <w:vAlign w:val="center"/>
          </w:tcPr>
          <w:p>
            <w:pPr>
              <w:rPr>
                <w:rFonts w:hint="eastAsia" w:ascii="宋体" w:hAnsi="宋体" w:eastAsia="宋体"/>
                <w:b/>
                <w:color w:val="000000" w:themeColor="text1"/>
                <w:sz w:val="23"/>
                <w:szCs w:val="23"/>
                <w:lang w:val="en-US" w:eastAsia="zh-CN"/>
                <w14:textFill>
                  <w14:solidFill>
                    <w14:schemeClr w14:val="tx1"/>
                  </w14:solidFill>
                </w14:textFill>
              </w:rPr>
            </w:pPr>
            <w:r>
              <w:rPr>
                <w:rFonts w:hint="eastAsia" w:ascii="宋体" w:hAnsi="宋体" w:eastAsia="宋体"/>
                <w:b/>
                <w:color w:val="000000" w:themeColor="text1"/>
                <w:sz w:val="23"/>
                <w:szCs w:val="23"/>
                <w:lang w:val="en-US" w:eastAsia="zh-CN"/>
                <w14:textFill>
                  <w14:solidFill>
                    <w14:schemeClr w14:val="tx1"/>
                  </w14:solidFill>
                </w14:textFill>
              </w:rPr>
              <w:t>办理流程</w:t>
            </w:r>
          </w:p>
        </w:tc>
        <w:tc>
          <w:tcPr>
            <w:tcW w:w="7169" w:type="dxa"/>
            <w:gridSpan w:val="3"/>
            <w:vAlign w:val="center"/>
          </w:tcPr>
          <w:p>
            <w:pPr>
              <w:spacing w:line="420" w:lineRule="atLeast"/>
              <w:rPr>
                <w:rStyle w:val="13"/>
                <w:rFonts w:hint="eastAsia" w:ascii="宋体" w:hAnsi="宋体" w:eastAsia="宋体"/>
                <w:color w:val="000000" w:themeColor="text1"/>
                <w:sz w:val="23"/>
                <w:szCs w:val="23"/>
                <w14:textFill>
                  <w14:solidFill>
                    <w14:schemeClr w14:val="tx1"/>
                  </w14:solidFill>
                </w14:textFill>
              </w:rPr>
            </w:pPr>
            <w:r>
              <w:rPr>
                <w:rFonts w:hint="eastAsia" w:ascii="微软雅黑" w:hAnsi="微软雅黑" w:eastAsia="微软雅黑" w:cs="微软雅黑"/>
                <w:i w:val="0"/>
                <w:caps w:val="0"/>
                <w:color w:val="333333"/>
                <w:spacing w:val="0"/>
                <w:sz w:val="21"/>
                <w:szCs w:val="21"/>
                <w:shd w:val="clear" w:fill="FFFFFF"/>
              </w:rPr>
              <w:t>受理-审查-决定-办结</w:t>
            </w:r>
          </w:p>
        </w:tc>
      </w:tr>
    </w:tbl>
    <w:p>
      <w:pPr>
        <w:spacing w:line="356" w:lineRule="exact"/>
        <w:rPr>
          <w:rFonts w:hint="eastAsia"/>
          <w:sz w:val="24"/>
          <w:szCs w:val="24"/>
        </w:rPr>
      </w:pPr>
    </w:p>
    <w:p>
      <w:pPr>
        <w:spacing w:line="240" w:lineRule="exact"/>
        <w:rPr>
          <w:rFonts w:ascii="黑体" w:hAnsi="黑体" w:eastAsia="黑体" w:cs="黑体"/>
          <w:sz w:val="21"/>
          <w:szCs w:val="21"/>
        </w:rPr>
      </w:pPr>
      <w:r>
        <w:rPr>
          <w:rFonts w:ascii="黑体" w:hAnsi="黑体" w:eastAsia="黑体" w:cs="黑体"/>
          <w:sz w:val="21"/>
          <w:szCs w:val="21"/>
        </w:rPr>
        <w:t>一、设立依据</w:t>
      </w:r>
    </w:p>
    <w:p>
      <w:pPr>
        <w:spacing w:line="255" w:lineRule="exact"/>
        <w:rPr>
          <w:sz w:val="24"/>
          <w:szCs w:val="24"/>
        </w:rPr>
      </w:pPr>
    </w:p>
    <w:p>
      <w:pPr>
        <w:rPr>
          <w:rFonts w:hint="eastAsia"/>
          <w:sz w:val="24"/>
          <w:szCs w:val="24"/>
        </w:rPr>
      </w:pPr>
      <w:r>
        <w:rPr>
          <w:rFonts w:hint="eastAsia"/>
          <w:sz w:val="24"/>
          <w:szCs w:val="24"/>
          <w:lang w:val="en-US" w:eastAsia="zh-CN"/>
        </w:rPr>
        <w:t xml:space="preserve">   </w:t>
      </w:r>
      <w:r>
        <w:rPr>
          <w:rFonts w:hint="eastAsia"/>
          <w:sz w:val="24"/>
          <w:szCs w:val="24"/>
        </w:rPr>
        <w:t>《娱乐场所管理条例》（2006年1月29日国务院令第458号，2016年2月6日予以修改）第九条：娱乐场所申请从事娱乐场所经营活动，应当向所在地县级人民政府文化主管部门提出申请；中外合资经营、中外合作经营的娱乐场所申请从事娱乐场所经营活动，应当向所在地省、自治区、直辖市人民政府文化主管部门提出申请。</w:t>
      </w:r>
    </w:p>
    <w:p>
      <w:pPr>
        <w:rPr>
          <w:rFonts w:hint="eastAsia"/>
          <w:sz w:val="24"/>
          <w:szCs w:val="24"/>
        </w:rPr>
      </w:pPr>
      <w:r>
        <w:rPr>
          <w:rFonts w:hint="eastAsia"/>
          <w:sz w:val="24"/>
          <w:szCs w:val="24"/>
        </w:rPr>
        <w:t>娱乐场所申请从事娱乐场所经营活动，应当提交投资人员、拟任的法定代表人和其他负责人没有本条例第五条规定情形的书面声明。申请人应当对书面声明内容的真实性负责。</w:t>
      </w:r>
    </w:p>
    <w:p>
      <w:pPr>
        <w:rPr>
          <w:rFonts w:hint="eastAsia"/>
          <w:sz w:val="24"/>
          <w:szCs w:val="24"/>
        </w:rPr>
      </w:pPr>
      <w:r>
        <w:rPr>
          <w:rFonts w:hint="eastAsia"/>
          <w:sz w:val="24"/>
          <w:szCs w:val="24"/>
        </w:rPr>
        <w:t>受理申请的文化主管部门应当就书面声明向公安部门或者其他有关单位核查，公安部门或者其他有关单位应当予以配合：经核查属实的，文化主管部门应当依据本条例第七条、第八条的规定进行实地检查，做出决定。予以批准的，颁发娱乐经营许可证，并根据国务院文化主管部门的规定核定娱乐场所容纳的消费者数量：不予批准的，应当书面通知申请人并说明理由。</w:t>
      </w:r>
    </w:p>
    <w:p>
      <w:pPr>
        <w:rPr>
          <w:rFonts w:hint="eastAsia"/>
          <w:sz w:val="24"/>
          <w:szCs w:val="24"/>
        </w:rPr>
      </w:pPr>
      <w:r>
        <w:rPr>
          <w:rFonts w:hint="eastAsia"/>
          <w:sz w:val="24"/>
          <w:szCs w:val="24"/>
        </w:rPr>
        <w:t>有关法律、行政法规规定需要办理消防、卫生、环境保护等审批手续的，从其规定。</w:t>
      </w:r>
    </w:p>
    <w:p>
      <w:pPr>
        <w:spacing w:line="240" w:lineRule="exact"/>
        <w:rPr>
          <w:rFonts w:ascii="黑体" w:hAnsi="黑体" w:eastAsia="黑体" w:cs="宋体"/>
          <w:sz w:val="21"/>
          <w:szCs w:val="21"/>
        </w:rPr>
      </w:pPr>
      <w:r>
        <w:rPr>
          <w:rFonts w:hint="eastAsia" w:ascii="黑体" w:hAnsi="黑体" w:eastAsia="黑体" w:cs="宋体"/>
          <w:sz w:val="21"/>
          <w:szCs w:val="21"/>
        </w:rPr>
        <w:t>二、办理流程图</w:t>
      </w:r>
    </w:p>
    <w:p>
      <w:pPr>
        <w:spacing w:line="240" w:lineRule="auto"/>
        <w:ind w:right="40"/>
        <w:jc w:val="both"/>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69230" cy="4182745"/>
            <wp:effectExtent l="0" t="0" r="7620" b="8255"/>
            <wp:docPr id="1" name="图片 1" descr="娱乐1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娱乐1流程图"/>
                    <pic:cNvPicPr>
                      <a:picLocks noChangeAspect="1"/>
                    </pic:cNvPicPr>
                  </pic:nvPicPr>
                  <pic:blipFill>
                    <a:blip r:embed="rId4"/>
                    <a:stretch>
                      <a:fillRect/>
                    </a:stretch>
                  </pic:blipFill>
                  <pic:spPr>
                    <a:xfrm>
                      <a:off x="0" y="0"/>
                      <a:ext cx="5269230" cy="4182745"/>
                    </a:xfrm>
                    <a:prstGeom prst="rect">
                      <a:avLst/>
                    </a:prstGeom>
                  </pic:spPr>
                </pic:pic>
              </a:graphicData>
            </a:graphic>
          </wp:inline>
        </w:drawing>
      </w:r>
    </w:p>
    <w:p>
      <w:pPr>
        <w:spacing w:line="20" w:lineRule="exact"/>
        <w:rPr>
          <w:sz w:val="20"/>
          <w:szCs w:val="20"/>
        </w:rPr>
      </w:pPr>
      <w:r>
        <w:rPr>
          <w:rFonts w:hint="eastAsia"/>
          <w:sz w:val="20"/>
          <w:szCs w:val="20"/>
        </w:rPr>
        <w:t xml:space="preserve">     </w:t>
      </w:r>
    </w:p>
    <w:p>
      <w:pPr>
        <w:jc w:val="both"/>
        <w:rPr>
          <w:rFonts w:hint="eastAsia" w:eastAsiaTheme="minor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eastAsiaTheme="minorEastAsia"/>
          <w:lang w:eastAsia="zh-CN"/>
        </w:rPr>
      </w:pPr>
      <w:r>
        <w:rPr>
          <w:rFonts w:hint="eastAsia"/>
          <w:lang w:eastAsia="zh-CN"/>
        </w:rPr>
        <w:t>三、办理材料</w:t>
      </w:r>
    </w:p>
    <w:tbl>
      <w:tblPr>
        <w:tblStyle w:val="7"/>
        <w:tblW w:w="9020" w:type="dxa"/>
        <w:tblInd w:w="10" w:type="dxa"/>
        <w:tblLayout w:type="fixed"/>
        <w:tblCellMar>
          <w:top w:w="0" w:type="dxa"/>
          <w:left w:w="0" w:type="dxa"/>
          <w:bottom w:w="0" w:type="dxa"/>
          <w:right w:w="0" w:type="dxa"/>
        </w:tblCellMar>
      </w:tblPr>
      <w:tblGrid>
        <w:gridCol w:w="416"/>
        <w:gridCol w:w="3296"/>
        <w:gridCol w:w="1132"/>
        <w:gridCol w:w="534"/>
        <w:gridCol w:w="908"/>
        <w:gridCol w:w="2734"/>
      </w:tblGrid>
      <w:tr>
        <w:tblPrEx>
          <w:tblCellMar>
            <w:top w:w="0" w:type="dxa"/>
            <w:left w:w="0" w:type="dxa"/>
            <w:bottom w:w="0" w:type="dxa"/>
            <w:right w:w="0" w:type="dxa"/>
          </w:tblCellMar>
        </w:tblPrEx>
        <w:trPr>
          <w:trHeight w:val="556" w:hRule="atLeast"/>
        </w:trPr>
        <w:tc>
          <w:tcPr>
            <w:tcW w:w="416" w:type="dxa"/>
            <w:tcBorders>
              <w:bottom w:val="single" w:color="auto" w:sz="8" w:space="0"/>
            </w:tcBorders>
            <w:vAlign w:val="bottom"/>
          </w:tcPr>
          <w:p>
            <w:pPr>
              <w:rPr>
                <w:sz w:val="18"/>
                <w:szCs w:val="18"/>
              </w:rPr>
            </w:pPr>
          </w:p>
        </w:tc>
        <w:tc>
          <w:tcPr>
            <w:tcW w:w="3296" w:type="dxa"/>
            <w:tcBorders>
              <w:bottom w:val="single" w:color="auto" w:sz="8" w:space="0"/>
            </w:tcBorders>
            <w:vAlign w:val="bottom"/>
          </w:tcPr>
          <w:p>
            <w:pPr>
              <w:rPr>
                <w:sz w:val="18"/>
                <w:szCs w:val="18"/>
              </w:rPr>
            </w:pPr>
          </w:p>
        </w:tc>
        <w:tc>
          <w:tcPr>
            <w:tcW w:w="1132" w:type="dxa"/>
            <w:tcBorders>
              <w:bottom w:val="single" w:color="auto" w:sz="8" w:space="0"/>
            </w:tcBorders>
            <w:vAlign w:val="bottom"/>
          </w:tcPr>
          <w:p>
            <w:pPr>
              <w:rPr>
                <w:sz w:val="18"/>
                <w:szCs w:val="18"/>
              </w:rPr>
            </w:pPr>
          </w:p>
        </w:tc>
        <w:tc>
          <w:tcPr>
            <w:tcW w:w="534" w:type="dxa"/>
            <w:tcBorders>
              <w:bottom w:val="single" w:color="auto" w:sz="8" w:space="0"/>
            </w:tcBorders>
            <w:vAlign w:val="bottom"/>
          </w:tcPr>
          <w:p>
            <w:pPr>
              <w:rPr>
                <w:sz w:val="18"/>
                <w:szCs w:val="18"/>
              </w:rPr>
            </w:pPr>
          </w:p>
        </w:tc>
        <w:tc>
          <w:tcPr>
            <w:tcW w:w="908" w:type="dxa"/>
            <w:tcBorders>
              <w:bottom w:val="single" w:color="auto" w:sz="8" w:space="0"/>
            </w:tcBorders>
            <w:vAlign w:val="bottom"/>
          </w:tcPr>
          <w:p>
            <w:pPr>
              <w:rPr>
                <w:sz w:val="18"/>
                <w:szCs w:val="18"/>
              </w:rPr>
            </w:pPr>
          </w:p>
        </w:tc>
        <w:tc>
          <w:tcPr>
            <w:tcW w:w="2734" w:type="dxa"/>
            <w:tcBorders>
              <w:bottom w:val="single" w:color="auto" w:sz="8" w:space="0"/>
            </w:tcBorders>
            <w:vAlign w:val="bottom"/>
          </w:tcPr>
          <w:p>
            <w:pPr>
              <w:rPr>
                <w:sz w:val="18"/>
                <w:szCs w:val="18"/>
              </w:rPr>
            </w:pPr>
          </w:p>
        </w:tc>
      </w:tr>
      <w:tr>
        <w:tblPrEx>
          <w:tblCellMar>
            <w:top w:w="0" w:type="dxa"/>
            <w:left w:w="0" w:type="dxa"/>
            <w:bottom w:w="0" w:type="dxa"/>
            <w:right w:w="0" w:type="dxa"/>
          </w:tblCellMar>
        </w:tblPrEx>
        <w:trPr>
          <w:trHeight w:val="793" w:hRule="atLeast"/>
        </w:trPr>
        <w:tc>
          <w:tcPr>
            <w:tcW w:w="416" w:type="dxa"/>
            <w:tcBorders>
              <w:left w:val="single" w:color="auto" w:sz="8" w:space="0"/>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序号</w:t>
            </w:r>
          </w:p>
        </w:tc>
        <w:tc>
          <w:tcPr>
            <w:tcW w:w="3296"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提交材料名称</w:t>
            </w:r>
          </w:p>
        </w:tc>
        <w:tc>
          <w:tcPr>
            <w:tcW w:w="1132"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原件/复印件</w:t>
            </w:r>
          </w:p>
        </w:tc>
        <w:tc>
          <w:tcPr>
            <w:tcW w:w="5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份数</w:t>
            </w:r>
          </w:p>
        </w:tc>
        <w:tc>
          <w:tcPr>
            <w:tcW w:w="908"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8"/>
                <w:sz w:val="18"/>
                <w:szCs w:val="18"/>
              </w:rPr>
              <w:t>纸质/电子版</w:t>
            </w:r>
          </w:p>
        </w:tc>
        <w:tc>
          <w:tcPr>
            <w:tcW w:w="2734" w:type="dxa"/>
            <w:tcBorders>
              <w:bottom w:val="single" w:color="auto" w:sz="4" w:space="0"/>
              <w:right w:val="single" w:color="auto" w:sz="8" w:space="0"/>
            </w:tcBorders>
            <w:vAlign w:val="center"/>
          </w:tcPr>
          <w:p>
            <w:pPr>
              <w:spacing w:line="206" w:lineRule="exact"/>
              <w:jc w:val="center"/>
              <w:rPr>
                <w:rFonts w:asciiTheme="minorEastAsia" w:hAnsiTheme="minorEastAsia" w:cstheme="minorEastAsia"/>
                <w:sz w:val="18"/>
                <w:szCs w:val="18"/>
              </w:rPr>
            </w:pPr>
            <w:r>
              <w:rPr>
                <w:rFonts w:hint="eastAsia" w:asciiTheme="minorEastAsia" w:hAnsiTheme="minorEastAsia" w:cstheme="minorEastAsia"/>
                <w:w w:val="99"/>
                <w:sz w:val="18"/>
                <w:szCs w:val="18"/>
              </w:rPr>
              <w:t>特定要求</w:t>
            </w:r>
          </w:p>
        </w:tc>
      </w:tr>
      <w:tr>
        <w:tblPrEx>
          <w:tblCellMar>
            <w:top w:w="0" w:type="dxa"/>
            <w:left w:w="0" w:type="dxa"/>
            <w:bottom w:w="0" w:type="dxa"/>
            <w:right w:w="0" w:type="dxa"/>
          </w:tblCellMar>
        </w:tblPrEx>
        <w:trPr>
          <w:trHeight w:val="1143" w:hRule="atLeast"/>
        </w:trPr>
        <w:tc>
          <w:tcPr>
            <w:tcW w:w="4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329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asciiTheme="minorEastAsia" w:hAnsiTheme="minorEastAsia" w:cstheme="minorEastAsia"/>
                <w:sz w:val="18"/>
                <w:szCs w:val="18"/>
              </w:rPr>
              <w:fldChar w:fldCharType="begin"/>
            </w:r>
            <w:r>
              <w:rPr>
                <w:rFonts w:asciiTheme="minorEastAsia" w:hAnsiTheme="minorEastAsia" w:cstheme="minorEastAsia"/>
                <w:sz w:val="18"/>
                <w:szCs w:val="18"/>
              </w:rPr>
              <w:instrText xml:space="preserve"> HYPERLINK "http://59.207.104.2:8060/smp/asmp/jsp/service/service_edit.jsp?unid=9819D4936031D8DF3CDE65688AE78AF3&amp;parentunid=undefined&amp;deptunid=001003027006013003023&amp;savelogo=1&amp;dialogId=2E43A79F6428539CDCB3501D91AED5D1" </w:instrText>
            </w:r>
            <w:r>
              <w:rPr>
                <w:rFonts w:asciiTheme="minorEastAsia" w:hAnsiTheme="minorEastAsia" w:cstheme="minorEastAsia"/>
                <w:sz w:val="18"/>
                <w:szCs w:val="18"/>
              </w:rPr>
              <w:fldChar w:fldCharType="separate"/>
            </w:r>
            <w:r>
              <w:rPr>
                <w:rFonts w:asciiTheme="minorEastAsia" w:hAnsiTheme="minorEastAsia" w:cstheme="minorEastAsia"/>
                <w:sz w:val="18"/>
                <w:szCs w:val="18"/>
              </w:rPr>
              <w:t>申请表</w:t>
            </w:r>
            <w:r>
              <w:rPr>
                <w:rFonts w:asciiTheme="minorEastAsia" w:hAnsiTheme="minorEastAsia" w:cstheme="minorEastAsia"/>
                <w:sz w:val="18"/>
                <w:szCs w:val="18"/>
              </w:rPr>
              <w:fldChar w:fldCharType="end"/>
            </w:r>
          </w:p>
        </w:tc>
        <w:tc>
          <w:tcPr>
            <w:tcW w:w="113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原件</w:t>
            </w:r>
          </w:p>
        </w:tc>
        <w:tc>
          <w:tcPr>
            <w:tcW w:w="5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1</w:t>
            </w:r>
          </w:p>
        </w:tc>
        <w:tc>
          <w:tcPr>
            <w:tcW w:w="908"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纸质</w:t>
            </w:r>
          </w:p>
        </w:tc>
        <w:tc>
          <w:tcPr>
            <w:tcW w:w="2734"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cstheme="minorEastAsia"/>
                <w:sz w:val="18"/>
                <w:szCs w:val="18"/>
              </w:rPr>
            </w:pPr>
            <w:r>
              <w:rPr>
                <w:rFonts w:hint="eastAsia" w:asciiTheme="minorEastAsia" w:hAnsiTheme="minorEastAsia" w:cstheme="minorEastAsia"/>
                <w:sz w:val="18"/>
                <w:szCs w:val="18"/>
              </w:rPr>
              <w:t>材料真实有效，内容填写、签章完整，无涂改，复印件加盖申请人单位公章</w:t>
            </w:r>
          </w:p>
        </w:tc>
      </w:tr>
    </w:tbl>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rPr>
          <w:rFonts w:hint="eastAsia"/>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p>
    <w:p>
      <w:pPr>
        <w:spacing w:line="232" w:lineRule="exact"/>
        <w:rPr>
          <w:rFonts w:hint="eastAsia" w:ascii="黑体" w:hAnsi="黑体" w:eastAsia="黑体" w:cs="黑体"/>
          <w:sz w:val="21"/>
          <w:szCs w:val="21"/>
        </w:rPr>
      </w:pPr>
      <w:r>
        <w:rPr>
          <w:rFonts w:hint="eastAsia" w:ascii="黑体" w:hAnsi="黑体" w:eastAsia="黑体" w:cs="黑体"/>
          <w:sz w:val="21"/>
          <w:szCs w:val="21"/>
        </w:rPr>
        <w:t>四、</w:t>
      </w:r>
      <w:r>
        <w:rPr>
          <w:rFonts w:ascii="黑体" w:hAnsi="黑体" w:eastAsia="黑体" w:cs="黑体"/>
          <w:sz w:val="21"/>
          <w:szCs w:val="21"/>
        </w:rPr>
        <w:t>办理结果样本</w:t>
      </w:r>
    </w:p>
    <w:p>
      <w:pPr>
        <w:tabs>
          <w:tab w:val="left" w:pos="999"/>
        </w:tabs>
        <w:rPr>
          <w:rFonts w:hint="eastAsia" w:eastAsiaTheme="minorEastAsia"/>
          <w:sz w:val="20"/>
          <w:szCs w:val="20"/>
          <w:lang w:eastAsia="zh-CN"/>
        </w:rPr>
      </w:pPr>
      <w:r>
        <w:rPr>
          <w:rFonts w:hint="eastAsia" w:eastAsiaTheme="minorEastAsia"/>
          <w:sz w:val="20"/>
          <w:szCs w:val="20"/>
          <w:lang w:eastAsia="zh-CN"/>
        </w:rPr>
        <w:drawing>
          <wp:inline distT="0" distB="0" distL="114300" distR="114300">
            <wp:extent cx="5271135" cy="7450455"/>
            <wp:effectExtent l="0" t="0" r="5715" b="17145"/>
            <wp:docPr id="4" name="图片 4" descr="娱乐经营许可证正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娱乐经营许可证正本，"/>
                    <pic:cNvPicPr>
                      <a:picLocks noChangeAspect="1"/>
                    </pic:cNvPicPr>
                  </pic:nvPicPr>
                  <pic:blipFill>
                    <a:blip r:embed="rId5"/>
                    <a:stretch>
                      <a:fillRect/>
                    </a:stretch>
                  </pic:blipFill>
                  <pic:spPr>
                    <a:xfrm>
                      <a:off x="0" y="0"/>
                      <a:ext cx="5271135" cy="7450455"/>
                    </a:xfrm>
                    <a:prstGeom prst="rect">
                      <a:avLst/>
                    </a:prstGeom>
                  </pic:spPr>
                </pic:pic>
              </a:graphicData>
            </a:graphic>
          </wp:inline>
        </w:drawing>
      </w:r>
    </w:p>
    <w:p>
      <w:pPr>
        <w:tabs>
          <w:tab w:val="left" w:pos="999"/>
        </w:tabs>
        <w:rPr>
          <w:rFonts w:hint="eastAsia"/>
          <w:sz w:val="20"/>
          <w:szCs w:val="20"/>
        </w:rPr>
      </w:pPr>
    </w:p>
    <w:p>
      <w:pPr>
        <w:tabs>
          <w:tab w:val="left" w:pos="999"/>
        </w:tabs>
        <w:rPr>
          <w:rFonts w:hint="eastAsia"/>
          <w:sz w:val="20"/>
          <w:szCs w:val="20"/>
        </w:rPr>
      </w:pPr>
    </w:p>
    <w:p>
      <w:pPr>
        <w:numPr>
          <w:ilvl w:val="0"/>
          <w:numId w:val="0"/>
        </w:numPr>
        <w:tabs>
          <w:tab w:val="left" w:pos="999"/>
        </w:tabs>
        <w:rPr>
          <w:rFonts w:hint="eastAsia"/>
          <w:sz w:val="44"/>
          <w:szCs w:val="4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2MjY2NzRmODRhZjYyMTg2YTJmOTE2NWZhMmQ5MTgifQ=="/>
  </w:docVars>
  <w:rsids>
    <w:rsidRoot w:val="72476900"/>
    <w:rsid w:val="00201E8E"/>
    <w:rsid w:val="0035398B"/>
    <w:rsid w:val="003B657A"/>
    <w:rsid w:val="005B3A79"/>
    <w:rsid w:val="00602979"/>
    <w:rsid w:val="00642A5D"/>
    <w:rsid w:val="006717D3"/>
    <w:rsid w:val="006F73A4"/>
    <w:rsid w:val="007B0FDE"/>
    <w:rsid w:val="008B7D20"/>
    <w:rsid w:val="008E273A"/>
    <w:rsid w:val="00940D6E"/>
    <w:rsid w:val="00A267C9"/>
    <w:rsid w:val="00BB6B96"/>
    <w:rsid w:val="00CE0E44"/>
    <w:rsid w:val="00CE5C44"/>
    <w:rsid w:val="00D03BDA"/>
    <w:rsid w:val="00D341FF"/>
    <w:rsid w:val="00DE04B3"/>
    <w:rsid w:val="00E97036"/>
    <w:rsid w:val="011C01BD"/>
    <w:rsid w:val="011D489F"/>
    <w:rsid w:val="0148662C"/>
    <w:rsid w:val="06215DB6"/>
    <w:rsid w:val="07F20B1B"/>
    <w:rsid w:val="08037086"/>
    <w:rsid w:val="0B8E076E"/>
    <w:rsid w:val="0DB7066D"/>
    <w:rsid w:val="0ECC0C41"/>
    <w:rsid w:val="0FBC36D5"/>
    <w:rsid w:val="124D7DB4"/>
    <w:rsid w:val="12585740"/>
    <w:rsid w:val="146D7940"/>
    <w:rsid w:val="183C10D5"/>
    <w:rsid w:val="1BDF124C"/>
    <w:rsid w:val="1F834E52"/>
    <w:rsid w:val="1FD67A86"/>
    <w:rsid w:val="2C066B03"/>
    <w:rsid w:val="2C9B1C8D"/>
    <w:rsid w:val="2F2F57B8"/>
    <w:rsid w:val="315C0E73"/>
    <w:rsid w:val="31F43BCB"/>
    <w:rsid w:val="338147DA"/>
    <w:rsid w:val="33C90F08"/>
    <w:rsid w:val="34DC43AF"/>
    <w:rsid w:val="35266AB5"/>
    <w:rsid w:val="3D7F5D67"/>
    <w:rsid w:val="3DCB6045"/>
    <w:rsid w:val="46B04AD5"/>
    <w:rsid w:val="4C2C4447"/>
    <w:rsid w:val="4D0B241B"/>
    <w:rsid w:val="4F542513"/>
    <w:rsid w:val="4F726E2D"/>
    <w:rsid w:val="4FAB398C"/>
    <w:rsid w:val="570F6FEC"/>
    <w:rsid w:val="573D6E5A"/>
    <w:rsid w:val="58713280"/>
    <w:rsid w:val="58C25F45"/>
    <w:rsid w:val="5F0F6127"/>
    <w:rsid w:val="61867AB2"/>
    <w:rsid w:val="629F3C84"/>
    <w:rsid w:val="67C6172D"/>
    <w:rsid w:val="67FA1129"/>
    <w:rsid w:val="6D535020"/>
    <w:rsid w:val="72476900"/>
    <w:rsid w:val="77A06E80"/>
    <w:rsid w:val="78215C78"/>
    <w:rsid w:val="7A1F66E8"/>
    <w:rsid w:val="7A7B3CA8"/>
    <w:rsid w:val="7F3C3E98"/>
    <w:rsid w:val="7FC7437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Document Map"/>
    <w:basedOn w:val="1"/>
    <w:link w:val="11"/>
    <w:qFormat/>
    <w:uiPriority w:val="0"/>
    <w:rPr>
      <w:rFonts w:ascii="宋体" w:eastAsia="宋体"/>
      <w:sz w:val="18"/>
      <w:szCs w:val="18"/>
    </w:r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100" w:beforeAutospacing="1" w:after="100" w:afterAutospacing="1"/>
    </w:pPr>
    <w:rPr>
      <w:rFonts w:ascii="Times New Roman" w:hAnsi="Times New Roman"/>
      <w:sz w:val="24"/>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文档结构图 Char"/>
    <w:basedOn w:val="9"/>
    <w:link w:val="2"/>
    <w:qFormat/>
    <w:uiPriority w:val="0"/>
    <w:rPr>
      <w:rFonts w:ascii="宋体" w:hAnsiTheme="minorHAnsi" w:cstheme="minorBidi"/>
      <w:sz w:val="18"/>
      <w:szCs w:val="18"/>
    </w:rPr>
  </w:style>
  <w:style w:type="character" w:customStyle="1" w:styleId="12">
    <w:name w:val="页眉 Char"/>
    <w:basedOn w:val="9"/>
    <w:link w:val="5"/>
    <w:qFormat/>
    <w:uiPriority w:val="0"/>
    <w:rPr>
      <w:rFonts w:asciiTheme="minorHAnsi" w:hAnsiTheme="minorHAnsi" w:eastAsiaTheme="minorEastAsia" w:cstheme="minorBidi"/>
      <w:sz w:val="18"/>
      <w:szCs w:val="18"/>
    </w:rPr>
  </w:style>
  <w:style w:type="character" w:customStyle="1" w:styleId="13">
    <w:name w:val="jbxx_chg_br"/>
    <w:basedOn w:val="9"/>
    <w:qFormat/>
    <w:uiPriority w:val="0"/>
  </w:style>
  <w:style w:type="character" w:customStyle="1" w:styleId="14">
    <w:name w:val="批注框文本 Char"/>
    <w:basedOn w:val="9"/>
    <w:link w:val="3"/>
    <w:qFormat/>
    <w:uiPriority w:val="0"/>
    <w:rPr>
      <w:rFonts w:asciiTheme="minorHAnsi" w:hAnsiTheme="minorHAnsi" w:eastAsiaTheme="minorEastAsia" w:cstheme="minorBid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Company>CHINA</Company>
  <Pages>6</Pages>
  <Words>1892</Words>
  <Characters>2010</Characters>
  <Lines>19</Lines>
  <Paragraphs>5</Paragraphs>
  <TotalTime>0</TotalTime>
  <ScaleCrop>false</ScaleCrop>
  <LinksUpToDate>false</LinksUpToDate>
  <CharactersWithSpaces>2100</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2018-10-30T03:51:00Z</dcterms:created>
  <dc:creator>Me.</dc:creator>
  <cp:lastModifiedBy>存在我温热时光</cp:lastModifiedBy>
  <cp:lastPrinted>2019-09-04T23:29:00Z</cp:lastPrinted>
  <dcterms:modified xsi:type="dcterms:W3CDTF">2023-01-03T07:45:17Z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1D181C38D88A4BB89584A7E861E551EE</vt:lpwstr>
  </property>
</Properties>
</file>