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B8" w:rsidRPr="00330049" w:rsidRDefault="00EB38B8" w:rsidP="00330049">
      <w:pPr>
        <w:spacing w:line="760" w:lineRule="exact"/>
        <w:jc w:val="center"/>
        <w:rPr>
          <w:rFonts w:ascii="方正小标宋简体" w:eastAsia="方正小标宋简体" w:hAnsi="方正小标宋_GBK" w:cs="方正小标宋_GBK"/>
          <w:color w:val="000000"/>
          <w:w w:val="90"/>
          <w:kern w:val="0"/>
          <w:sz w:val="44"/>
          <w:szCs w:val="44"/>
        </w:rPr>
      </w:pPr>
      <w:r w:rsidRPr="00330049">
        <w:rPr>
          <w:rFonts w:ascii="方正小标宋简体" w:eastAsia="方正小标宋简体" w:hAnsi="方正小标宋_GBK" w:cs="方正小标宋_GBK" w:hint="eastAsia"/>
          <w:color w:val="000000"/>
          <w:w w:val="90"/>
          <w:kern w:val="0"/>
          <w:sz w:val="44"/>
          <w:szCs w:val="44"/>
        </w:rPr>
        <w:t>西平县城市区域声环境功能区划分</w:t>
      </w:r>
    </w:p>
    <w:p w:rsidR="00EB38B8" w:rsidRPr="00330049" w:rsidRDefault="00EB38B8" w:rsidP="00330049">
      <w:pPr>
        <w:pStyle w:val="Heading1"/>
        <w:numPr>
          <w:ilvl w:val="0"/>
          <w:numId w:val="0"/>
        </w:numPr>
        <w:spacing w:before="0" w:after="0" w:line="760" w:lineRule="exact"/>
        <w:rPr>
          <w:rFonts w:ascii="方正小标宋简体" w:hAnsi="方正小标宋_GBK" w:cs="方正小标宋_GBK"/>
          <w:b w:val="0"/>
          <w:bCs/>
          <w:sz w:val="44"/>
          <w:szCs w:val="44"/>
        </w:rPr>
      </w:pPr>
      <w:r w:rsidRPr="00330049">
        <w:rPr>
          <w:rFonts w:ascii="方正小标宋简体" w:hAnsi="方正小标宋_GBK" w:cs="方正小标宋_GBK" w:hint="eastAsia"/>
          <w:b w:val="0"/>
          <w:bCs/>
          <w:color w:val="000000"/>
          <w:w w:val="90"/>
          <w:kern w:val="0"/>
          <w:sz w:val="44"/>
          <w:szCs w:val="44"/>
        </w:rPr>
        <w:t>（征求意见稿）</w:t>
      </w:r>
    </w:p>
    <w:p w:rsidR="00EB38B8" w:rsidRDefault="00EB38B8" w:rsidP="0093749F">
      <w:pPr>
        <w:pStyle w:val="Heading2"/>
        <w:keepNext w:val="0"/>
        <w:keepLines w:val="0"/>
        <w:numPr>
          <w:ilvl w:val="0"/>
          <w:numId w:val="0"/>
        </w:numPr>
        <w:tabs>
          <w:tab w:val="clear" w:pos="360"/>
          <w:tab w:val="left" w:pos="420"/>
        </w:tabs>
        <w:spacing w:beforeLines="50" w:afterLines="50" w:line="520" w:lineRule="exact"/>
        <w:ind w:firstLineChars="200" w:firstLine="31680"/>
        <w:rPr>
          <w:rFonts w:ascii="方正小标宋简体" w:cs="方正小标宋简体"/>
          <w:b w:val="0"/>
          <w:bCs/>
          <w:sz w:val="32"/>
          <w:szCs w:val="32"/>
        </w:rPr>
      </w:pPr>
      <w:bookmarkStart w:id="0" w:name="_Toc58615654"/>
    </w:p>
    <w:p w:rsidR="00EB38B8" w:rsidRDefault="00EB38B8" w:rsidP="00DA16D4">
      <w:pPr>
        <w:pStyle w:val="Heading2"/>
        <w:keepNext w:val="0"/>
        <w:keepLines w:val="0"/>
        <w:numPr>
          <w:ilvl w:val="0"/>
          <w:numId w:val="0"/>
        </w:numPr>
        <w:tabs>
          <w:tab w:val="clear" w:pos="360"/>
          <w:tab w:val="left" w:pos="420"/>
        </w:tabs>
        <w:spacing w:beforeLines="50" w:afterLines="50" w:line="520" w:lineRule="exact"/>
        <w:ind w:firstLineChars="200" w:firstLine="31680"/>
        <w:rPr>
          <w:rFonts w:ascii="方正小标宋简体" w:cs="方正小标宋简体"/>
          <w:sz w:val="32"/>
          <w:szCs w:val="32"/>
        </w:rPr>
      </w:pPr>
      <w:r>
        <w:rPr>
          <w:rFonts w:ascii="方正小标宋简体" w:hAnsi="方正小标宋简体" w:cs="方正小标宋简体" w:hint="eastAsia"/>
          <w:sz w:val="32"/>
          <w:szCs w:val="32"/>
        </w:rPr>
        <w:t>一、区划范围</w:t>
      </w:r>
      <w:bookmarkEnd w:id="0"/>
    </w:p>
    <w:p w:rsidR="00EB38B8" w:rsidRDefault="00EB38B8" w:rsidP="0093749F">
      <w:pPr>
        <w:pStyle w:val="Heading2"/>
        <w:keepNext w:val="0"/>
        <w:keepLines w:val="0"/>
        <w:numPr>
          <w:ilvl w:val="0"/>
          <w:numId w:val="0"/>
        </w:numPr>
        <w:tabs>
          <w:tab w:val="clear" w:pos="360"/>
          <w:tab w:val="left" w:pos="420"/>
        </w:tabs>
        <w:spacing w:beforeLines="50" w:afterLines="50" w:line="600" w:lineRule="exact"/>
        <w:ind w:firstLineChars="200" w:firstLine="31680"/>
        <w:rPr>
          <w:rFonts w:ascii="仿宋" w:eastAsia="仿宋" w:hAnsi="仿宋" w:cs="仿宋"/>
          <w:b w:val="0"/>
          <w:bCs/>
          <w:sz w:val="32"/>
          <w:szCs w:val="32"/>
        </w:rPr>
      </w:pPr>
      <w:bookmarkStart w:id="1" w:name="_Toc58615690"/>
      <w:r>
        <w:rPr>
          <w:rFonts w:ascii="仿宋" w:eastAsia="仿宋" w:hAnsi="仿宋" w:cs="仿宋" w:hint="eastAsia"/>
          <w:b w:val="0"/>
          <w:bCs/>
          <w:sz w:val="32"/>
          <w:szCs w:val="32"/>
        </w:rPr>
        <w:t>指由西平县传统城区、城市新区和产业集聚区等组成的县域中心城市，规划中心城区城市开发边界范围约</w:t>
      </w:r>
      <w:r>
        <w:rPr>
          <w:rFonts w:ascii="仿宋" w:eastAsia="仿宋" w:hAnsi="仿宋" w:cs="仿宋"/>
          <w:b w:val="0"/>
          <w:bCs/>
          <w:sz w:val="32"/>
          <w:szCs w:val="32"/>
        </w:rPr>
        <w:t xml:space="preserve"> 64.09 </w:t>
      </w:r>
      <w:r>
        <w:rPr>
          <w:rFonts w:ascii="仿宋" w:eastAsia="仿宋" w:hAnsi="仿宋" w:cs="仿宋" w:hint="eastAsia"/>
          <w:b w:val="0"/>
          <w:bCs/>
          <w:sz w:val="32"/>
          <w:szCs w:val="32"/>
        </w:rPr>
        <w:t>平方公里。</w:t>
      </w:r>
    </w:p>
    <w:p w:rsidR="00EB38B8" w:rsidRDefault="00EB38B8" w:rsidP="00DA16D4">
      <w:pPr>
        <w:pStyle w:val="Heading2"/>
        <w:keepNext w:val="0"/>
        <w:keepLines w:val="0"/>
        <w:numPr>
          <w:ilvl w:val="0"/>
          <w:numId w:val="0"/>
        </w:numPr>
        <w:tabs>
          <w:tab w:val="clear" w:pos="360"/>
          <w:tab w:val="left" w:pos="420"/>
        </w:tabs>
        <w:spacing w:beforeLines="50" w:afterLines="50" w:line="520" w:lineRule="exact"/>
        <w:ind w:firstLineChars="200" w:firstLine="31680"/>
        <w:rPr>
          <w:rFonts w:ascii="方正小标宋简体" w:cs="方正小标宋简体"/>
          <w:sz w:val="32"/>
          <w:szCs w:val="32"/>
        </w:rPr>
      </w:pPr>
      <w:r>
        <w:rPr>
          <w:rFonts w:ascii="方正小标宋简体" w:hAnsi="方正小标宋简体" w:cs="方正小标宋简体" w:hint="eastAsia"/>
          <w:sz w:val="32"/>
          <w:szCs w:val="32"/>
        </w:rPr>
        <w:t>二、区划原则</w:t>
      </w:r>
      <w:bookmarkEnd w:id="1"/>
    </w:p>
    <w:p w:rsidR="00EB38B8" w:rsidRDefault="00EB38B8" w:rsidP="00DA16D4">
      <w:pPr>
        <w:adjustRightInd w:val="0"/>
        <w:ind w:firstLineChars="100" w:firstLine="31680"/>
        <w:rPr>
          <w:rFonts w:ascii="Times New Roman" w:eastAsia="仿宋_GB2312" w:hAnsi="Times New Roman"/>
          <w:color w:val="000000"/>
          <w:kern w:val="0"/>
          <w:sz w:val="32"/>
          <w:szCs w:val="32"/>
        </w:rPr>
      </w:pPr>
      <w:r>
        <w:rPr>
          <w:rFonts w:ascii="仿宋_GB2312" w:eastAsia="仿宋_GB2312" w:hint="eastAsia"/>
          <w:color w:val="000000"/>
          <w:kern w:val="0"/>
          <w:sz w:val="32"/>
          <w:szCs w:val="32"/>
        </w:rPr>
        <w:t>（</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）以改善声环境质量为核心，以保障人民享有良好的声环境为目标；</w:t>
      </w:r>
    </w:p>
    <w:p w:rsidR="00EB38B8" w:rsidRDefault="00EB38B8" w:rsidP="00DA16D4">
      <w:pPr>
        <w:adjustRightInd w:val="0"/>
        <w:ind w:firstLineChars="1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以城市总体规划为指导，重点考虑城市近期规划和用地现状，按照规划用地性质、用地现状、声环境质量现状和现行声环境功能区，科学划定声环境功能区类别。声环境功能区应覆盖整个城市规划区范围，并依据城市总体规划和用地性质变化而同步调整。</w:t>
      </w:r>
    </w:p>
    <w:p w:rsidR="00EB38B8" w:rsidRDefault="00EB38B8" w:rsidP="00DA16D4">
      <w:pPr>
        <w:adjustRightInd w:val="0"/>
        <w:ind w:firstLineChars="1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）调整声环境功能区类别进行充分的说明，严格控制</w:t>
      </w: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类声环境功能区范围。</w:t>
      </w:r>
    </w:p>
    <w:p w:rsidR="00EB38B8" w:rsidRDefault="00EB38B8" w:rsidP="00DA16D4">
      <w:pPr>
        <w:adjustRightInd w:val="0"/>
        <w:ind w:firstLineChars="1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）遵循城市建设和发展的客观规律，因地制宜，统筹兼顾，功能区划定应有利于环境噪声管理和促进噪声治理。</w:t>
      </w:r>
    </w:p>
    <w:p w:rsidR="00EB38B8" w:rsidRDefault="00EB38B8" w:rsidP="0093749F">
      <w:pPr>
        <w:adjustRightInd w:val="0"/>
        <w:ind w:firstLineChars="1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）宜粗不宜细，宜大不宜小。</w:t>
      </w:r>
      <w:bookmarkStart w:id="2" w:name="_Toc58615691"/>
    </w:p>
    <w:p w:rsidR="00EB38B8" w:rsidRDefault="00EB38B8" w:rsidP="00DA16D4">
      <w:pPr>
        <w:pStyle w:val="Heading2"/>
        <w:numPr>
          <w:ilvl w:val="1"/>
          <w:numId w:val="0"/>
        </w:numPr>
        <w:ind w:firstLineChars="200" w:firstLine="31680"/>
        <w:rPr>
          <w:rFonts w:ascii="方正小标宋简体" w:cs="方正小标宋简体"/>
          <w:sz w:val="32"/>
          <w:szCs w:val="32"/>
        </w:rPr>
      </w:pPr>
      <w:r>
        <w:rPr>
          <w:rFonts w:ascii="方正小标宋简体" w:hAnsi="方正小标宋简体" w:cs="方正小标宋简体" w:hint="eastAsia"/>
          <w:sz w:val="32"/>
          <w:szCs w:val="32"/>
        </w:rPr>
        <w:t>三、时效</w:t>
      </w:r>
    </w:p>
    <w:p w:rsidR="00EB38B8" w:rsidRDefault="00EB38B8" w:rsidP="00DA16D4">
      <w:pPr>
        <w:spacing w:line="520" w:lineRule="exact"/>
        <w:ind w:firstLineChars="200" w:firstLine="31680"/>
        <w:rPr>
          <w:rFonts w:ascii="仿宋" w:eastAsia="仿宋" w:hAnsi="仿宋" w:cs="仿宋"/>
          <w:color w:val="000000"/>
          <w:kern w:val="0"/>
          <w:sz w:val="32"/>
          <w:szCs w:val="32"/>
        </w:rPr>
      </w:pPr>
      <w:r>
        <w:rPr>
          <w:rFonts w:ascii="仿宋" w:eastAsia="仿宋" w:hAnsi="仿宋" w:cs="仿宋" w:hint="eastAsia"/>
          <w:color w:val="000000"/>
          <w:kern w:val="0"/>
          <w:sz w:val="32"/>
          <w:szCs w:val="32"/>
        </w:rPr>
        <w:t>本次声功能区区划以发布之日起生效。</w:t>
      </w:r>
    </w:p>
    <w:p w:rsidR="00EB38B8" w:rsidRDefault="00EB38B8" w:rsidP="00DA16D4">
      <w:pPr>
        <w:spacing w:line="520" w:lineRule="exact"/>
        <w:ind w:firstLineChars="200" w:firstLine="31680"/>
        <w:rPr>
          <w:rFonts w:ascii="仿宋" w:eastAsia="仿宋" w:hAnsi="仿宋" w:cs="仿宋"/>
          <w:sz w:val="32"/>
          <w:szCs w:val="32"/>
        </w:rPr>
      </w:pPr>
      <w:r>
        <w:rPr>
          <w:rFonts w:ascii="仿宋" w:eastAsia="仿宋" w:hAnsi="仿宋" w:cs="仿宋" w:hint="eastAsia"/>
          <w:color w:val="000000"/>
          <w:kern w:val="0"/>
          <w:sz w:val="32"/>
          <w:szCs w:val="32"/>
        </w:rPr>
        <w:t>本次规划以</w:t>
      </w:r>
      <w:r>
        <w:rPr>
          <w:rFonts w:ascii="仿宋" w:eastAsia="仿宋" w:hAnsi="仿宋" w:cs="仿宋" w:hint="eastAsia"/>
          <w:bCs/>
          <w:sz w:val="32"/>
          <w:szCs w:val="32"/>
        </w:rPr>
        <w:t>《西平县城市总体规划》（</w:t>
      </w:r>
      <w:r>
        <w:rPr>
          <w:rFonts w:ascii="仿宋" w:eastAsia="仿宋" w:hAnsi="仿宋" w:cs="仿宋"/>
          <w:bCs/>
          <w:sz w:val="32"/>
          <w:szCs w:val="32"/>
        </w:rPr>
        <w:t>2016—2030</w:t>
      </w:r>
      <w:r>
        <w:rPr>
          <w:rFonts w:ascii="仿宋" w:eastAsia="仿宋" w:hAnsi="仿宋" w:cs="仿宋" w:hint="eastAsia"/>
          <w:bCs/>
          <w:sz w:val="32"/>
          <w:szCs w:val="32"/>
        </w:rPr>
        <w:t>年）为上位参考规划，原则上本次声环境区划适用期限为</w:t>
      </w:r>
      <w:r>
        <w:rPr>
          <w:rFonts w:ascii="仿宋" w:eastAsia="仿宋" w:hAnsi="仿宋" w:cs="仿宋"/>
          <w:bCs/>
          <w:sz w:val="32"/>
          <w:szCs w:val="32"/>
        </w:rPr>
        <w:t>5</w:t>
      </w:r>
      <w:r>
        <w:rPr>
          <w:rFonts w:ascii="仿宋" w:eastAsia="仿宋" w:hAnsi="仿宋" w:cs="仿宋" w:hint="eastAsia"/>
          <w:bCs/>
          <w:sz w:val="32"/>
          <w:szCs w:val="32"/>
        </w:rPr>
        <w:t>年，如规划或实际出现较大调整，酌情考虑使用年限。</w:t>
      </w:r>
    </w:p>
    <w:p w:rsidR="00EB38B8" w:rsidRDefault="00EB38B8" w:rsidP="00DA16D4">
      <w:pPr>
        <w:pStyle w:val="Heading2"/>
        <w:keepNext w:val="0"/>
        <w:keepLines w:val="0"/>
        <w:numPr>
          <w:ilvl w:val="0"/>
          <w:numId w:val="0"/>
        </w:numPr>
        <w:tabs>
          <w:tab w:val="clear" w:pos="360"/>
          <w:tab w:val="left" w:pos="420"/>
        </w:tabs>
        <w:spacing w:beforeLines="50" w:afterLines="50" w:line="520" w:lineRule="exact"/>
        <w:ind w:firstLineChars="200" w:firstLine="31680"/>
        <w:rPr>
          <w:rFonts w:ascii="方正小标宋简体" w:cs="方正小标宋简体"/>
          <w:sz w:val="32"/>
          <w:szCs w:val="32"/>
        </w:rPr>
      </w:pPr>
      <w:r>
        <w:rPr>
          <w:rFonts w:ascii="方正小标宋简体" w:hAnsi="方正小标宋简体" w:cs="方正小标宋简体" w:hint="eastAsia"/>
          <w:sz w:val="32"/>
          <w:szCs w:val="32"/>
        </w:rPr>
        <w:t>四、声环境功能区类别及限值</w:t>
      </w:r>
      <w:bookmarkEnd w:id="2"/>
    </w:p>
    <w:p w:rsidR="00EB38B8" w:rsidRDefault="00EB38B8" w:rsidP="00DA16D4">
      <w:pPr>
        <w:pStyle w:val="Heading3"/>
        <w:numPr>
          <w:ilvl w:val="0"/>
          <w:numId w:val="0"/>
        </w:numPr>
        <w:tabs>
          <w:tab w:val="clear" w:pos="360"/>
          <w:tab w:val="left" w:pos="420"/>
        </w:tabs>
        <w:ind w:firstLineChars="100" w:firstLine="31680"/>
        <w:jc w:val="both"/>
        <w:rPr>
          <w:sz w:val="32"/>
          <w:szCs w:val="21"/>
        </w:rPr>
      </w:pPr>
      <w:bookmarkStart w:id="3" w:name="_Toc58615692"/>
      <w:r>
        <w:rPr>
          <w:rFonts w:hint="eastAsia"/>
          <w:sz w:val="32"/>
          <w:szCs w:val="21"/>
        </w:rPr>
        <w:t>（一）声环境功能区类别</w:t>
      </w:r>
      <w:bookmarkEnd w:id="3"/>
    </w:p>
    <w:p w:rsidR="00EB38B8" w:rsidRDefault="00EB38B8" w:rsidP="00DA16D4">
      <w:pPr>
        <w:adjustRightInd w:val="0"/>
        <w:ind w:firstLineChars="200" w:firstLine="31680"/>
        <w:rPr>
          <w:rFonts w:ascii="仿宋" w:eastAsia="仿宋" w:hAnsi="仿宋" w:cs="仿宋"/>
          <w:color w:val="000000"/>
          <w:kern w:val="0"/>
          <w:sz w:val="32"/>
          <w:szCs w:val="32"/>
        </w:rPr>
      </w:pPr>
      <w:r>
        <w:rPr>
          <w:rFonts w:ascii="仿宋" w:eastAsia="仿宋" w:hAnsi="仿宋" w:cs="仿宋" w:hint="eastAsia"/>
          <w:color w:val="000000"/>
          <w:kern w:val="0"/>
          <w:sz w:val="32"/>
          <w:szCs w:val="32"/>
        </w:rPr>
        <w:t>按照《声环境质量标准》（</w:t>
      </w:r>
      <w:r>
        <w:rPr>
          <w:rFonts w:ascii="仿宋" w:eastAsia="仿宋" w:hAnsi="仿宋" w:cs="仿宋"/>
          <w:color w:val="000000"/>
          <w:kern w:val="0"/>
          <w:sz w:val="32"/>
          <w:szCs w:val="32"/>
        </w:rPr>
        <w:t>GB3096-2008</w:t>
      </w:r>
      <w:r>
        <w:rPr>
          <w:rFonts w:ascii="仿宋" w:eastAsia="仿宋" w:hAnsi="仿宋" w:cs="仿宋" w:hint="eastAsia"/>
          <w:color w:val="000000"/>
          <w:kern w:val="0"/>
          <w:sz w:val="32"/>
          <w:szCs w:val="32"/>
        </w:rPr>
        <w:t>）、《声环境功能区划分技术规范》（</w:t>
      </w:r>
      <w:r>
        <w:rPr>
          <w:rFonts w:ascii="仿宋" w:eastAsia="仿宋" w:hAnsi="仿宋" w:cs="仿宋"/>
          <w:color w:val="000000"/>
          <w:kern w:val="0"/>
          <w:sz w:val="32"/>
          <w:szCs w:val="32"/>
        </w:rPr>
        <w:t>GB/T15190-2014</w:t>
      </w:r>
      <w:r>
        <w:rPr>
          <w:rFonts w:ascii="仿宋" w:eastAsia="仿宋" w:hAnsi="仿宋" w:cs="仿宋" w:hint="eastAsia"/>
          <w:color w:val="000000"/>
          <w:kern w:val="0"/>
          <w:sz w:val="32"/>
          <w:szCs w:val="32"/>
        </w:rPr>
        <w:t>）规定，声环境功能区划分为</w:t>
      </w: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类，见表</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w:t>
      </w:r>
    </w:p>
    <w:p w:rsidR="00EB38B8" w:rsidRDefault="00EB38B8" w:rsidP="00DA16D4">
      <w:pPr>
        <w:spacing w:line="360" w:lineRule="auto"/>
        <w:ind w:left="560" w:firstLineChars="900" w:firstLine="31680"/>
        <w:jc w:val="left"/>
        <w:rPr>
          <w:rFonts w:ascii="Times New Roman" w:eastAsia="黑体" w:hAnsi="Times New Roman"/>
          <w:sz w:val="24"/>
        </w:rPr>
      </w:pPr>
      <w:r>
        <w:rPr>
          <w:rFonts w:ascii="Times New Roman" w:eastAsia="黑体" w:hint="eastAsia"/>
          <w:sz w:val="24"/>
        </w:rPr>
        <w:t>表</w:t>
      </w:r>
      <w:r>
        <w:rPr>
          <w:rFonts w:ascii="Times New Roman" w:eastAsia="黑体" w:hAnsi="Times New Roman"/>
          <w:sz w:val="24"/>
        </w:rPr>
        <w:t xml:space="preserve">1  </w:t>
      </w:r>
      <w:r>
        <w:rPr>
          <w:rFonts w:ascii="Times New Roman" w:eastAsia="黑体" w:hint="eastAsia"/>
          <w:sz w:val="24"/>
        </w:rPr>
        <w:t>声环境功能区类别</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28"/>
        <w:gridCol w:w="593"/>
        <w:gridCol w:w="7201"/>
      </w:tblGrid>
      <w:tr w:rsidR="00EB38B8" w:rsidRPr="0061159B">
        <w:trPr>
          <w:jc w:val="center"/>
        </w:trPr>
        <w:tc>
          <w:tcPr>
            <w:tcW w:w="1321" w:type="dxa"/>
            <w:gridSpan w:val="2"/>
          </w:tcPr>
          <w:p w:rsidR="00EB38B8" w:rsidRDefault="00EB38B8">
            <w:pPr>
              <w:spacing w:line="360" w:lineRule="auto"/>
              <w:jc w:val="center"/>
              <w:rPr>
                <w:rFonts w:ascii="Times New Roman" w:eastAsia="黑体" w:hAnsi="Times New Roman"/>
                <w:szCs w:val="21"/>
              </w:rPr>
            </w:pPr>
            <w:r w:rsidRPr="0061159B">
              <w:rPr>
                <w:rFonts w:ascii="Times New Roman" w:eastAsia="黑体" w:hint="eastAsia"/>
                <w:szCs w:val="21"/>
              </w:rPr>
              <w:t>类别</w:t>
            </w:r>
          </w:p>
        </w:tc>
        <w:tc>
          <w:tcPr>
            <w:tcW w:w="7201" w:type="dxa"/>
          </w:tcPr>
          <w:p w:rsidR="00EB38B8" w:rsidRDefault="00EB38B8">
            <w:pPr>
              <w:spacing w:line="360" w:lineRule="auto"/>
              <w:jc w:val="center"/>
              <w:rPr>
                <w:rFonts w:ascii="Times New Roman" w:eastAsia="黑体" w:hAnsi="Times New Roman"/>
                <w:szCs w:val="21"/>
              </w:rPr>
            </w:pPr>
            <w:r w:rsidRPr="0061159B">
              <w:rPr>
                <w:rFonts w:ascii="Times New Roman" w:eastAsia="黑体" w:hint="eastAsia"/>
                <w:szCs w:val="21"/>
              </w:rPr>
              <w:t>适用区域</w:t>
            </w:r>
          </w:p>
        </w:tc>
      </w:tr>
      <w:tr w:rsidR="00EB38B8" w:rsidRPr="0061159B">
        <w:trPr>
          <w:jc w:val="center"/>
        </w:trPr>
        <w:tc>
          <w:tcPr>
            <w:tcW w:w="1321" w:type="dxa"/>
            <w:gridSpan w:val="2"/>
          </w:tcPr>
          <w:p w:rsidR="00EB38B8" w:rsidRDefault="00EB38B8">
            <w:pPr>
              <w:spacing w:line="360" w:lineRule="auto"/>
              <w:jc w:val="center"/>
              <w:rPr>
                <w:rFonts w:ascii="Times New Roman" w:hAnsi="Times New Roman"/>
                <w:szCs w:val="21"/>
              </w:rPr>
            </w:pPr>
            <w:r w:rsidRPr="0061159B">
              <w:rPr>
                <w:rFonts w:ascii="Times New Roman" w:hAnsi="Times New Roman"/>
                <w:szCs w:val="21"/>
              </w:rPr>
              <w:t>0</w:t>
            </w:r>
            <w:r w:rsidRPr="0061159B">
              <w:rPr>
                <w:rFonts w:ascii="Times New Roman" w:hint="eastAsia"/>
                <w:szCs w:val="21"/>
              </w:rPr>
              <w:t>类</w:t>
            </w:r>
          </w:p>
        </w:tc>
        <w:tc>
          <w:tcPr>
            <w:tcW w:w="7201" w:type="dxa"/>
          </w:tcPr>
          <w:p w:rsidR="00EB38B8" w:rsidRDefault="00EB38B8">
            <w:pPr>
              <w:spacing w:line="360" w:lineRule="auto"/>
              <w:rPr>
                <w:rFonts w:ascii="Times New Roman" w:hAnsi="Times New Roman"/>
                <w:szCs w:val="21"/>
              </w:rPr>
            </w:pPr>
            <w:r w:rsidRPr="0061159B">
              <w:rPr>
                <w:rFonts w:ascii="Times New Roman" w:hint="eastAsia"/>
                <w:szCs w:val="21"/>
              </w:rPr>
              <w:t>康复疗养区等特别需要安静的区域。</w:t>
            </w:r>
          </w:p>
        </w:tc>
      </w:tr>
      <w:tr w:rsidR="00EB38B8" w:rsidRPr="0061159B">
        <w:trPr>
          <w:jc w:val="center"/>
        </w:trPr>
        <w:tc>
          <w:tcPr>
            <w:tcW w:w="1321" w:type="dxa"/>
            <w:gridSpan w:val="2"/>
          </w:tcPr>
          <w:p w:rsidR="00EB38B8" w:rsidRDefault="00EB38B8">
            <w:pPr>
              <w:spacing w:line="360" w:lineRule="auto"/>
              <w:jc w:val="center"/>
              <w:rPr>
                <w:rFonts w:ascii="Times New Roman" w:hAnsi="Times New Roman"/>
                <w:szCs w:val="21"/>
              </w:rPr>
            </w:pPr>
            <w:r w:rsidRPr="0061159B">
              <w:rPr>
                <w:rFonts w:ascii="Times New Roman" w:hAnsi="Times New Roman"/>
                <w:szCs w:val="21"/>
              </w:rPr>
              <w:t>1</w:t>
            </w:r>
            <w:r w:rsidRPr="0061159B">
              <w:rPr>
                <w:rFonts w:ascii="Times New Roman" w:hint="eastAsia"/>
                <w:szCs w:val="21"/>
              </w:rPr>
              <w:t>类</w:t>
            </w:r>
          </w:p>
        </w:tc>
        <w:tc>
          <w:tcPr>
            <w:tcW w:w="7201" w:type="dxa"/>
          </w:tcPr>
          <w:p w:rsidR="00EB38B8" w:rsidRDefault="00EB38B8">
            <w:pPr>
              <w:rPr>
                <w:rFonts w:ascii="Times New Roman" w:hAnsi="Times New Roman"/>
                <w:szCs w:val="21"/>
              </w:rPr>
            </w:pPr>
            <w:r w:rsidRPr="0061159B">
              <w:rPr>
                <w:rFonts w:ascii="Times New Roman" w:hint="eastAsia"/>
                <w:szCs w:val="21"/>
              </w:rPr>
              <w:t>以居民住宅、医疗卫生、文化教育、科研设计、行政办公为主要功能，需要保持安静的区域。</w:t>
            </w:r>
          </w:p>
        </w:tc>
      </w:tr>
      <w:tr w:rsidR="00EB38B8" w:rsidRPr="0061159B">
        <w:trPr>
          <w:jc w:val="center"/>
        </w:trPr>
        <w:tc>
          <w:tcPr>
            <w:tcW w:w="1321" w:type="dxa"/>
            <w:gridSpan w:val="2"/>
          </w:tcPr>
          <w:p w:rsidR="00EB38B8" w:rsidRDefault="00EB38B8">
            <w:pPr>
              <w:spacing w:line="360" w:lineRule="auto"/>
              <w:jc w:val="center"/>
              <w:rPr>
                <w:rFonts w:ascii="Times New Roman" w:hAnsi="Times New Roman"/>
                <w:szCs w:val="21"/>
              </w:rPr>
            </w:pPr>
            <w:r w:rsidRPr="0061159B">
              <w:rPr>
                <w:rFonts w:ascii="Times New Roman" w:hAnsi="Times New Roman"/>
                <w:szCs w:val="21"/>
              </w:rPr>
              <w:t>2</w:t>
            </w:r>
            <w:r w:rsidRPr="0061159B">
              <w:rPr>
                <w:rFonts w:ascii="Times New Roman" w:hint="eastAsia"/>
                <w:szCs w:val="21"/>
              </w:rPr>
              <w:t>类</w:t>
            </w:r>
          </w:p>
        </w:tc>
        <w:tc>
          <w:tcPr>
            <w:tcW w:w="7201" w:type="dxa"/>
          </w:tcPr>
          <w:p w:rsidR="00EB38B8" w:rsidRDefault="00EB38B8">
            <w:pPr>
              <w:rPr>
                <w:rFonts w:ascii="Times New Roman" w:hAnsi="Times New Roman"/>
                <w:szCs w:val="21"/>
              </w:rPr>
            </w:pPr>
            <w:r w:rsidRPr="0061159B">
              <w:rPr>
                <w:rFonts w:ascii="Times New Roman" w:hint="eastAsia"/>
                <w:szCs w:val="21"/>
              </w:rPr>
              <w:t>以商业金融、集市贸易为主要功能，或者居住、商业、工业混杂，需要维护住宅安静的区域。</w:t>
            </w:r>
          </w:p>
        </w:tc>
      </w:tr>
      <w:tr w:rsidR="00EB38B8" w:rsidRPr="0061159B">
        <w:trPr>
          <w:jc w:val="center"/>
        </w:trPr>
        <w:tc>
          <w:tcPr>
            <w:tcW w:w="1321" w:type="dxa"/>
            <w:gridSpan w:val="2"/>
          </w:tcPr>
          <w:p w:rsidR="00EB38B8" w:rsidRDefault="00EB38B8">
            <w:pPr>
              <w:spacing w:line="360" w:lineRule="auto"/>
              <w:jc w:val="center"/>
              <w:rPr>
                <w:rFonts w:ascii="Times New Roman" w:hAnsi="Times New Roman"/>
                <w:szCs w:val="21"/>
              </w:rPr>
            </w:pPr>
            <w:r w:rsidRPr="0061159B">
              <w:rPr>
                <w:rFonts w:ascii="Times New Roman" w:hAnsi="Times New Roman"/>
                <w:szCs w:val="21"/>
              </w:rPr>
              <w:t>3</w:t>
            </w:r>
            <w:r w:rsidRPr="0061159B">
              <w:rPr>
                <w:rFonts w:ascii="Times New Roman" w:hint="eastAsia"/>
                <w:szCs w:val="21"/>
              </w:rPr>
              <w:t>类</w:t>
            </w:r>
          </w:p>
        </w:tc>
        <w:tc>
          <w:tcPr>
            <w:tcW w:w="7201" w:type="dxa"/>
          </w:tcPr>
          <w:p w:rsidR="00EB38B8" w:rsidRDefault="00EB38B8">
            <w:pPr>
              <w:rPr>
                <w:rFonts w:ascii="Times New Roman" w:hAnsi="Times New Roman"/>
                <w:szCs w:val="21"/>
              </w:rPr>
            </w:pPr>
            <w:r w:rsidRPr="0061159B">
              <w:rPr>
                <w:rFonts w:ascii="Times New Roman" w:hint="eastAsia"/>
                <w:szCs w:val="21"/>
              </w:rPr>
              <w:t>以工业生产、仓储物流为主要功能，需要防止工业噪声对周围环境产生严重影响的区域。</w:t>
            </w:r>
          </w:p>
        </w:tc>
      </w:tr>
      <w:tr w:rsidR="00EB38B8" w:rsidRPr="0061159B">
        <w:trPr>
          <w:trHeight w:val="233"/>
          <w:jc w:val="center"/>
        </w:trPr>
        <w:tc>
          <w:tcPr>
            <w:tcW w:w="728" w:type="dxa"/>
            <w:vMerge w:val="restart"/>
            <w:vAlign w:val="center"/>
          </w:tcPr>
          <w:p w:rsidR="00EB38B8" w:rsidRDefault="00EB38B8">
            <w:pPr>
              <w:spacing w:line="360" w:lineRule="auto"/>
              <w:jc w:val="center"/>
              <w:rPr>
                <w:rFonts w:ascii="Times New Roman" w:hAnsi="Times New Roman"/>
                <w:szCs w:val="21"/>
              </w:rPr>
            </w:pPr>
            <w:r w:rsidRPr="0061159B">
              <w:rPr>
                <w:rFonts w:ascii="Times New Roman" w:hAnsi="Times New Roman"/>
                <w:szCs w:val="21"/>
              </w:rPr>
              <w:t>4</w:t>
            </w:r>
            <w:r w:rsidRPr="0061159B">
              <w:rPr>
                <w:rFonts w:ascii="Times New Roman" w:hint="eastAsia"/>
                <w:szCs w:val="21"/>
              </w:rPr>
              <w:t>类</w:t>
            </w:r>
          </w:p>
        </w:tc>
        <w:tc>
          <w:tcPr>
            <w:tcW w:w="593" w:type="dxa"/>
            <w:vAlign w:val="center"/>
          </w:tcPr>
          <w:p w:rsidR="00EB38B8" w:rsidRDefault="00EB38B8">
            <w:pPr>
              <w:spacing w:line="360" w:lineRule="auto"/>
              <w:jc w:val="cente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5"/>
                <w:attr w:name="UnitName" w:val="米"/>
              </w:smartTagPr>
              <w:r w:rsidRPr="0061159B">
                <w:rPr>
                  <w:rFonts w:ascii="Times New Roman" w:hAnsi="Times New Roman"/>
                  <w:szCs w:val="21"/>
                </w:rPr>
                <w:t>4a</w:t>
              </w:r>
            </w:smartTag>
          </w:p>
        </w:tc>
        <w:tc>
          <w:tcPr>
            <w:tcW w:w="7201" w:type="dxa"/>
          </w:tcPr>
          <w:p w:rsidR="00EB38B8" w:rsidRDefault="00EB38B8">
            <w:pPr>
              <w:rPr>
                <w:rFonts w:ascii="Times New Roman" w:hAnsi="Times New Roman"/>
                <w:szCs w:val="21"/>
              </w:rPr>
            </w:pPr>
            <w:r w:rsidRPr="0061159B">
              <w:rPr>
                <w:rFonts w:ascii="Times New Roman" w:hint="eastAsia"/>
                <w:szCs w:val="21"/>
              </w:rPr>
              <w:t>高速公路、一级公路、二级公路、城市快速路、城市主干路、城市次干路、城市轨道交通（地面段）、内河航道两侧一定距离之内，需要防止交通噪声对周围环境产生严重影响的区域。</w:t>
            </w:r>
          </w:p>
        </w:tc>
      </w:tr>
      <w:tr w:rsidR="00EB38B8" w:rsidRPr="0061159B">
        <w:trPr>
          <w:trHeight w:val="232"/>
          <w:jc w:val="center"/>
        </w:trPr>
        <w:tc>
          <w:tcPr>
            <w:tcW w:w="728" w:type="dxa"/>
            <w:vMerge/>
            <w:vAlign w:val="center"/>
          </w:tcPr>
          <w:p w:rsidR="00EB38B8" w:rsidRDefault="00EB38B8">
            <w:pPr>
              <w:widowControl/>
              <w:jc w:val="left"/>
              <w:rPr>
                <w:rFonts w:ascii="Times New Roman" w:hAnsi="Times New Roman"/>
                <w:szCs w:val="21"/>
              </w:rPr>
            </w:pPr>
          </w:p>
        </w:tc>
        <w:tc>
          <w:tcPr>
            <w:tcW w:w="593" w:type="dxa"/>
            <w:vAlign w:val="center"/>
          </w:tcPr>
          <w:p w:rsidR="00EB38B8" w:rsidRDefault="00EB38B8">
            <w:pPr>
              <w:spacing w:line="360" w:lineRule="auto"/>
              <w:jc w:val="center"/>
              <w:rPr>
                <w:rFonts w:ascii="Times New Roman" w:hAnsi="Times New Roman"/>
                <w:szCs w:val="21"/>
              </w:rPr>
            </w:pPr>
            <w:r w:rsidRPr="0061159B">
              <w:rPr>
                <w:rFonts w:ascii="Times New Roman" w:hAnsi="Times New Roman"/>
                <w:szCs w:val="21"/>
              </w:rPr>
              <w:t>4b</w:t>
            </w:r>
          </w:p>
        </w:tc>
        <w:tc>
          <w:tcPr>
            <w:tcW w:w="7201" w:type="dxa"/>
          </w:tcPr>
          <w:p w:rsidR="00EB38B8" w:rsidRDefault="00EB38B8">
            <w:pPr>
              <w:rPr>
                <w:rFonts w:ascii="Times New Roman" w:hAnsi="Times New Roman"/>
                <w:szCs w:val="21"/>
              </w:rPr>
            </w:pPr>
            <w:r w:rsidRPr="0061159B">
              <w:rPr>
                <w:rFonts w:ascii="Times New Roman" w:hint="eastAsia"/>
                <w:szCs w:val="21"/>
              </w:rPr>
              <w:t>铁路干线两侧一定距离之内，需要防止交通噪声对周围环境产生严重影响的区域。</w:t>
            </w:r>
          </w:p>
        </w:tc>
      </w:tr>
    </w:tbl>
    <w:p w:rsidR="00EB38B8" w:rsidRDefault="00EB38B8" w:rsidP="00EB38B8">
      <w:pPr>
        <w:pStyle w:val="Heading3"/>
        <w:numPr>
          <w:ilvl w:val="0"/>
          <w:numId w:val="0"/>
        </w:numPr>
        <w:tabs>
          <w:tab w:val="clear" w:pos="360"/>
          <w:tab w:val="left" w:pos="420"/>
        </w:tabs>
        <w:ind w:firstLineChars="100" w:firstLine="31680"/>
        <w:rPr>
          <w:sz w:val="32"/>
          <w:szCs w:val="21"/>
        </w:rPr>
      </w:pPr>
      <w:bookmarkStart w:id="4" w:name="_Toc58615693"/>
      <w:r>
        <w:rPr>
          <w:rFonts w:hint="eastAsia"/>
          <w:sz w:val="32"/>
          <w:szCs w:val="21"/>
        </w:rPr>
        <w:t>（二）噪声限值</w:t>
      </w:r>
      <w:bookmarkEnd w:id="4"/>
    </w:p>
    <w:p w:rsidR="00EB38B8" w:rsidRDefault="00EB38B8" w:rsidP="00DA16D4">
      <w:pPr>
        <w:adjustRightInd w:val="0"/>
        <w:ind w:firstLineChars="2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依据《声环境质量标准》（</w:t>
      </w:r>
      <w:r>
        <w:rPr>
          <w:rFonts w:ascii="Times New Roman" w:eastAsia="仿宋_GB2312" w:hAnsi="Times New Roman"/>
          <w:color w:val="000000"/>
          <w:kern w:val="0"/>
          <w:sz w:val="32"/>
          <w:szCs w:val="32"/>
        </w:rPr>
        <w:t>GB3096-2008</w:t>
      </w:r>
      <w:r>
        <w:rPr>
          <w:rFonts w:ascii="Times New Roman" w:eastAsia="仿宋_GB2312" w:hAnsi="Times New Roman" w:hint="eastAsia"/>
          <w:color w:val="000000"/>
          <w:kern w:val="0"/>
          <w:sz w:val="32"/>
          <w:szCs w:val="32"/>
        </w:rPr>
        <w:t>）规定，各类声环境功能区执行的环境噪声等效声级标准限值见表</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p>
    <w:p w:rsidR="00EB38B8" w:rsidRDefault="00EB38B8" w:rsidP="00DA16D4">
      <w:pPr>
        <w:spacing w:line="360" w:lineRule="auto"/>
        <w:ind w:left="560" w:firstLineChars="100" w:firstLine="31680"/>
        <w:jc w:val="left"/>
        <w:rPr>
          <w:rFonts w:ascii="Times New Roman" w:eastAsia="黑体" w:hAnsi="Times New Roman"/>
          <w:sz w:val="24"/>
        </w:rPr>
      </w:pPr>
      <w:r>
        <w:rPr>
          <w:rFonts w:ascii="Times New Roman" w:eastAsia="黑体" w:hint="eastAsia"/>
          <w:sz w:val="24"/>
        </w:rPr>
        <w:t>表</w:t>
      </w:r>
      <w:r>
        <w:rPr>
          <w:rFonts w:ascii="Times New Roman" w:eastAsia="黑体" w:hAnsi="Times New Roman"/>
          <w:sz w:val="24"/>
        </w:rPr>
        <w:t xml:space="preserve">2              </w:t>
      </w:r>
      <w:r>
        <w:rPr>
          <w:rFonts w:ascii="Times New Roman" w:eastAsia="黑体" w:hint="eastAsia"/>
          <w:sz w:val="24"/>
        </w:rPr>
        <w:t>声环境质量标准限值</w:t>
      </w:r>
      <w:r>
        <w:rPr>
          <w:rFonts w:ascii="Times New Roman" w:eastAsia="黑体" w:hAnsi="Times New Roman"/>
          <w:sz w:val="24"/>
        </w:rPr>
        <w:t xml:space="preserve">      </w:t>
      </w:r>
      <w:r>
        <w:rPr>
          <w:rFonts w:ascii="Times New Roman" w:eastAsia="黑体" w:hint="eastAsia"/>
          <w:sz w:val="24"/>
        </w:rPr>
        <w:t>单位：</w:t>
      </w:r>
      <w:r>
        <w:rPr>
          <w:rFonts w:ascii="Times New Roman" w:eastAsia="黑体" w:hAnsi="Times New Roman"/>
          <w:sz w:val="24"/>
        </w:rPr>
        <w:t>dB(A)</w:t>
      </w:r>
    </w:p>
    <w:tbl>
      <w:tblPr>
        <w:tblW w:w="8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25"/>
        <w:gridCol w:w="873"/>
        <w:gridCol w:w="3260"/>
        <w:gridCol w:w="3422"/>
      </w:tblGrid>
      <w:tr w:rsidR="00EB38B8" w:rsidRPr="0061159B">
        <w:trPr>
          <w:trHeight w:val="233"/>
          <w:jc w:val="center"/>
        </w:trPr>
        <w:tc>
          <w:tcPr>
            <w:tcW w:w="1598" w:type="dxa"/>
            <w:gridSpan w:val="2"/>
            <w:vMerge w:val="restart"/>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宋体" w:hint="eastAsia"/>
                <w:szCs w:val="21"/>
              </w:rPr>
              <w:t>类别</w:t>
            </w:r>
          </w:p>
        </w:tc>
        <w:tc>
          <w:tcPr>
            <w:tcW w:w="6682" w:type="dxa"/>
            <w:gridSpan w:val="2"/>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宋体" w:hint="eastAsia"/>
                <w:szCs w:val="21"/>
              </w:rPr>
              <w:t>时段</w:t>
            </w:r>
          </w:p>
        </w:tc>
      </w:tr>
      <w:tr w:rsidR="00EB38B8" w:rsidRPr="0061159B">
        <w:trPr>
          <w:trHeight w:val="232"/>
          <w:jc w:val="center"/>
        </w:trPr>
        <w:tc>
          <w:tcPr>
            <w:tcW w:w="1598" w:type="dxa"/>
            <w:gridSpan w:val="2"/>
            <w:vMerge/>
            <w:vAlign w:val="center"/>
          </w:tcPr>
          <w:p w:rsidR="00EB38B8" w:rsidRPr="0061159B" w:rsidRDefault="00EB38B8">
            <w:pPr>
              <w:widowControl/>
              <w:jc w:val="left"/>
              <w:rPr>
                <w:rFonts w:ascii="Times New Roman" w:hAnsi="Times New Roman"/>
                <w:szCs w:val="21"/>
              </w:rPr>
            </w:pPr>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宋体" w:hint="eastAsia"/>
                <w:szCs w:val="21"/>
              </w:rPr>
              <w:t>昼间</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宋体" w:hint="eastAsia"/>
                <w:szCs w:val="21"/>
              </w:rPr>
              <w:t>夜间</w:t>
            </w:r>
          </w:p>
        </w:tc>
      </w:tr>
      <w:tr w:rsidR="00EB38B8" w:rsidRPr="0061159B">
        <w:trPr>
          <w:jc w:val="center"/>
        </w:trPr>
        <w:tc>
          <w:tcPr>
            <w:tcW w:w="1598" w:type="dxa"/>
            <w:gridSpan w:val="2"/>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0</w:t>
            </w:r>
            <w:r w:rsidRPr="0061159B">
              <w:rPr>
                <w:rFonts w:ascii="Times New Roman" w:hAnsi="宋体" w:hint="eastAsia"/>
                <w:szCs w:val="21"/>
              </w:rPr>
              <w:t>类</w:t>
            </w:r>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50</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40</w:t>
            </w:r>
          </w:p>
        </w:tc>
      </w:tr>
      <w:tr w:rsidR="00EB38B8" w:rsidRPr="0061159B">
        <w:trPr>
          <w:jc w:val="center"/>
        </w:trPr>
        <w:tc>
          <w:tcPr>
            <w:tcW w:w="1598" w:type="dxa"/>
            <w:gridSpan w:val="2"/>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1</w:t>
            </w:r>
            <w:r w:rsidRPr="0061159B">
              <w:rPr>
                <w:rFonts w:ascii="Times New Roman" w:hAnsi="宋体" w:hint="eastAsia"/>
                <w:szCs w:val="21"/>
              </w:rPr>
              <w:t>类</w:t>
            </w:r>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55</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45</w:t>
            </w:r>
          </w:p>
        </w:tc>
      </w:tr>
      <w:tr w:rsidR="00EB38B8" w:rsidRPr="0061159B">
        <w:trPr>
          <w:jc w:val="center"/>
        </w:trPr>
        <w:tc>
          <w:tcPr>
            <w:tcW w:w="1598" w:type="dxa"/>
            <w:gridSpan w:val="2"/>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2</w:t>
            </w:r>
            <w:r w:rsidRPr="0061159B">
              <w:rPr>
                <w:rFonts w:ascii="Times New Roman" w:hAnsi="宋体" w:hint="eastAsia"/>
                <w:szCs w:val="21"/>
              </w:rPr>
              <w:t>类</w:t>
            </w:r>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60</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50</w:t>
            </w:r>
          </w:p>
        </w:tc>
      </w:tr>
      <w:tr w:rsidR="00EB38B8" w:rsidRPr="0061159B">
        <w:trPr>
          <w:jc w:val="center"/>
        </w:trPr>
        <w:tc>
          <w:tcPr>
            <w:tcW w:w="1598" w:type="dxa"/>
            <w:gridSpan w:val="2"/>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3</w:t>
            </w:r>
            <w:r w:rsidRPr="0061159B">
              <w:rPr>
                <w:rFonts w:ascii="Times New Roman" w:hAnsi="宋体" w:hint="eastAsia"/>
                <w:szCs w:val="21"/>
              </w:rPr>
              <w:t>类</w:t>
            </w:r>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65</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55</w:t>
            </w:r>
          </w:p>
        </w:tc>
      </w:tr>
      <w:tr w:rsidR="00EB38B8" w:rsidRPr="0061159B">
        <w:trPr>
          <w:trHeight w:val="233"/>
          <w:jc w:val="center"/>
        </w:trPr>
        <w:tc>
          <w:tcPr>
            <w:tcW w:w="725" w:type="dxa"/>
            <w:vMerge w:val="restart"/>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4</w:t>
            </w:r>
            <w:r w:rsidRPr="0061159B">
              <w:rPr>
                <w:rFonts w:ascii="Times New Roman" w:hAnsi="宋体" w:hint="eastAsia"/>
                <w:szCs w:val="21"/>
              </w:rPr>
              <w:t>类</w:t>
            </w:r>
          </w:p>
        </w:tc>
        <w:tc>
          <w:tcPr>
            <w:tcW w:w="873" w:type="dxa"/>
            <w:vAlign w:val="center"/>
          </w:tcPr>
          <w:p w:rsidR="00EB38B8" w:rsidRPr="0061159B" w:rsidRDefault="00EB38B8">
            <w:pPr>
              <w:adjustRightInd w:val="0"/>
              <w:snapToGrid w:val="0"/>
              <w:jc w:val="cente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5"/>
                <w:attr w:name="UnitName" w:val="米"/>
              </w:smartTagPr>
              <w:r w:rsidRPr="0061159B">
                <w:rPr>
                  <w:rFonts w:ascii="Times New Roman" w:hAnsi="Times New Roman"/>
                  <w:szCs w:val="21"/>
                </w:rPr>
                <w:t>4a</w:t>
              </w:r>
            </w:smartTag>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70</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55</w:t>
            </w:r>
          </w:p>
        </w:tc>
      </w:tr>
      <w:tr w:rsidR="00EB38B8" w:rsidRPr="0061159B">
        <w:trPr>
          <w:trHeight w:val="232"/>
          <w:jc w:val="center"/>
        </w:trPr>
        <w:tc>
          <w:tcPr>
            <w:tcW w:w="725" w:type="dxa"/>
            <w:vMerge/>
            <w:vAlign w:val="center"/>
          </w:tcPr>
          <w:p w:rsidR="00EB38B8" w:rsidRPr="0061159B" w:rsidRDefault="00EB38B8">
            <w:pPr>
              <w:widowControl/>
              <w:jc w:val="left"/>
              <w:rPr>
                <w:rFonts w:ascii="Times New Roman" w:hAnsi="Times New Roman"/>
                <w:szCs w:val="21"/>
              </w:rPr>
            </w:pPr>
          </w:p>
        </w:tc>
        <w:tc>
          <w:tcPr>
            <w:tcW w:w="873"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4b</w:t>
            </w:r>
          </w:p>
        </w:tc>
        <w:tc>
          <w:tcPr>
            <w:tcW w:w="3260"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70</w:t>
            </w:r>
          </w:p>
        </w:tc>
        <w:tc>
          <w:tcPr>
            <w:tcW w:w="3422" w:type="dxa"/>
            <w:vAlign w:val="center"/>
          </w:tcPr>
          <w:p w:rsidR="00EB38B8" w:rsidRPr="0061159B" w:rsidRDefault="00EB38B8">
            <w:pPr>
              <w:adjustRightInd w:val="0"/>
              <w:snapToGrid w:val="0"/>
              <w:jc w:val="center"/>
              <w:rPr>
                <w:rFonts w:ascii="Times New Roman" w:hAnsi="Times New Roman"/>
                <w:szCs w:val="21"/>
              </w:rPr>
            </w:pPr>
            <w:r w:rsidRPr="0061159B">
              <w:rPr>
                <w:rFonts w:ascii="Times New Roman" w:hAnsi="Times New Roman"/>
                <w:szCs w:val="21"/>
              </w:rPr>
              <w:t>60</w:t>
            </w:r>
          </w:p>
        </w:tc>
      </w:tr>
    </w:tbl>
    <w:p w:rsidR="00EB38B8" w:rsidRDefault="00EB38B8">
      <w:pPr>
        <w:adjustRightInd w:val="0"/>
        <w:snapToGrid w:val="0"/>
        <w:rPr>
          <w:rFonts w:ascii="Times New Roman" w:hAnsi="Times New Roman"/>
          <w:color w:val="000000"/>
          <w:kern w:val="0"/>
          <w:sz w:val="28"/>
          <w:szCs w:val="28"/>
        </w:rPr>
      </w:pPr>
      <w:r>
        <w:rPr>
          <w:rFonts w:ascii="Times New Roman" w:hint="eastAsia"/>
          <w:szCs w:val="21"/>
        </w:rPr>
        <w:t>注：</w:t>
      </w:r>
      <w:r>
        <w:rPr>
          <w:rFonts w:ascii="Times New Roman" w:hAnsi="Times New Roman"/>
          <w:szCs w:val="21"/>
        </w:rPr>
        <w:t>“</w:t>
      </w:r>
      <w:r>
        <w:rPr>
          <w:rFonts w:ascii="Times New Roman" w:hint="eastAsia"/>
          <w:szCs w:val="21"/>
        </w:rPr>
        <w:t>昼间</w:t>
      </w:r>
      <w:r>
        <w:rPr>
          <w:rFonts w:ascii="Times New Roman" w:hAnsi="Times New Roman"/>
          <w:szCs w:val="21"/>
        </w:rPr>
        <w:t>”</w:t>
      </w:r>
      <w:r>
        <w:rPr>
          <w:rFonts w:ascii="Times New Roman" w:hint="eastAsia"/>
          <w:szCs w:val="21"/>
        </w:rPr>
        <w:t>是指</w:t>
      </w:r>
      <w:r>
        <w:rPr>
          <w:rFonts w:ascii="Times New Roman" w:hAnsi="Times New Roman"/>
          <w:szCs w:val="21"/>
        </w:rPr>
        <w:t>6:00</w:t>
      </w:r>
      <w:r>
        <w:rPr>
          <w:rFonts w:ascii="Times New Roman" w:hint="eastAsia"/>
          <w:szCs w:val="21"/>
        </w:rPr>
        <w:t>至</w:t>
      </w:r>
      <w:r>
        <w:rPr>
          <w:rFonts w:ascii="Times New Roman" w:hAnsi="Times New Roman"/>
          <w:szCs w:val="21"/>
        </w:rPr>
        <w:t>22:00</w:t>
      </w:r>
      <w:r>
        <w:rPr>
          <w:rFonts w:ascii="Times New Roman" w:hint="eastAsia"/>
          <w:szCs w:val="21"/>
        </w:rPr>
        <w:t>之间的时段；</w:t>
      </w:r>
      <w:r>
        <w:rPr>
          <w:rFonts w:ascii="Times New Roman" w:hAnsi="Times New Roman"/>
          <w:szCs w:val="21"/>
        </w:rPr>
        <w:t>“</w:t>
      </w:r>
      <w:r>
        <w:rPr>
          <w:rFonts w:ascii="Times New Roman" w:hint="eastAsia"/>
          <w:szCs w:val="21"/>
        </w:rPr>
        <w:t>夜间</w:t>
      </w:r>
      <w:r>
        <w:rPr>
          <w:rFonts w:ascii="Times New Roman" w:hAnsi="Times New Roman"/>
          <w:szCs w:val="21"/>
        </w:rPr>
        <w:t>”</w:t>
      </w:r>
      <w:r>
        <w:rPr>
          <w:rFonts w:ascii="Times New Roman" w:hint="eastAsia"/>
          <w:szCs w:val="21"/>
        </w:rPr>
        <w:t>是指</w:t>
      </w:r>
      <w:r>
        <w:rPr>
          <w:rFonts w:ascii="Times New Roman" w:hAnsi="Times New Roman"/>
          <w:szCs w:val="21"/>
        </w:rPr>
        <w:t>22:00</w:t>
      </w:r>
      <w:r>
        <w:rPr>
          <w:rFonts w:ascii="Times New Roman" w:hint="eastAsia"/>
          <w:szCs w:val="21"/>
        </w:rPr>
        <w:t>至次日</w:t>
      </w:r>
      <w:r>
        <w:rPr>
          <w:rFonts w:ascii="Times New Roman" w:hAnsi="Times New Roman"/>
          <w:szCs w:val="21"/>
        </w:rPr>
        <w:t>6:00</w:t>
      </w:r>
      <w:r>
        <w:rPr>
          <w:rFonts w:ascii="Times New Roman" w:hint="eastAsia"/>
          <w:szCs w:val="21"/>
        </w:rPr>
        <w:t>之间的时段。</w:t>
      </w:r>
    </w:p>
    <w:p w:rsidR="00EB38B8" w:rsidRDefault="00EB38B8" w:rsidP="00DA16D4">
      <w:pPr>
        <w:pStyle w:val="Heading2"/>
        <w:keepNext w:val="0"/>
        <w:keepLines w:val="0"/>
        <w:numPr>
          <w:ilvl w:val="0"/>
          <w:numId w:val="0"/>
        </w:numPr>
        <w:tabs>
          <w:tab w:val="clear" w:pos="360"/>
          <w:tab w:val="left" w:pos="420"/>
        </w:tabs>
        <w:spacing w:beforeLines="50" w:afterLines="50" w:line="520" w:lineRule="exact"/>
        <w:ind w:firstLineChars="100" w:firstLine="31680"/>
        <w:rPr>
          <w:rFonts w:ascii="方正小标宋简体" w:cs="方正小标宋简体"/>
          <w:sz w:val="32"/>
          <w:szCs w:val="32"/>
        </w:rPr>
      </w:pPr>
      <w:bookmarkStart w:id="5" w:name="_Toc58615698"/>
      <w:r>
        <w:rPr>
          <w:rFonts w:ascii="方正小标宋简体" w:hAnsi="方正小标宋简体" w:cs="方正小标宋简体" w:hint="eastAsia"/>
          <w:sz w:val="32"/>
          <w:szCs w:val="32"/>
        </w:rPr>
        <w:t>五、声环境功能区划结果</w:t>
      </w:r>
      <w:bookmarkEnd w:id="5"/>
    </w:p>
    <w:p w:rsidR="00EB38B8" w:rsidRDefault="00EB38B8">
      <w:pPr>
        <w:pStyle w:val="NormalIndent"/>
        <w:rPr>
          <w:rFonts w:eastAsia="黑体"/>
          <w:bCs/>
          <w:sz w:val="32"/>
          <w:szCs w:val="32"/>
        </w:rPr>
      </w:pPr>
      <w:r>
        <w:rPr>
          <w:rFonts w:eastAsia="黑体" w:hint="eastAsia"/>
          <w:bCs/>
          <w:sz w:val="32"/>
          <w:szCs w:val="32"/>
        </w:rPr>
        <w:t>见附表</w:t>
      </w:r>
      <w:r>
        <w:rPr>
          <w:rFonts w:eastAsia="黑体"/>
          <w:bCs/>
          <w:sz w:val="32"/>
          <w:szCs w:val="32"/>
        </w:rPr>
        <w:t>1</w:t>
      </w:r>
      <w:r>
        <w:rPr>
          <w:rFonts w:eastAsia="黑体" w:hint="eastAsia"/>
          <w:bCs/>
          <w:sz w:val="32"/>
          <w:szCs w:val="32"/>
        </w:rPr>
        <w:t>、</w:t>
      </w:r>
      <w:r>
        <w:rPr>
          <w:rFonts w:eastAsia="黑体"/>
          <w:bCs/>
          <w:sz w:val="32"/>
          <w:szCs w:val="32"/>
        </w:rPr>
        <w:t>2</w:t>
      </w:r>
      <w:r>
        <w:rPr>
          <w:rFonts w:eastAsia="黑体" w:hint="eastAsia"/>
          <w:bCs/>
          <w:sz w:val="32"/>
          <w:szCs w:val="32"/>
        </w:rPr>
        <w:t>和附图</w:t>
      </w:r>
      <w:r>
        <w:rPr>
          <w:rFonts w:eastAsia="黑体"/>
          <w:bCs/>
          <w:sz w:val="32"/>
          <w:szCs w:val="32"/>
        </w:rPr>
        <w:t>1</w:t>
      </w:r>
      <w:r>
        <w:rPr>
          <w:rFonts w:eastAsia="黑体" w:hint="eastAsia"/>
          <w:bCs/>
          <w:sz w:val="32"/>
          <w:szCs w:val="32"/>
        </w:rPr>
        <w:t>。</w:t>
      </w:r>
    </w:p>
    <w:p w:rsidR="00EB38B8" w:rsidRDefault="00EB38B8">
      <w:pPr>
        <w:rPr>
          <w:b/>
          <w:bCs/>
        </w:rPr>
      </w:pPr>
      <w:r>
        <w:rPr>
          <w:rFonts w:hint="eastAsia"/>
          <w:b/>
          <w:bCs/>
        </w:rPr>
        <w:t>附表</w:t>
      </w:r>
      <w:r>
        <w:rPr>
          <w:b/>
          <w:bCs/>
        </w:rPr>
        <w:t>1</w:t>
      </w:r>
    </w:p>
    <w:p w:rsidR="00EB38B8" w:rsidRDefault="00EB38B8">
      <w:pPr>
        <w:adjustRightInd w:val="0"/>
        <w:snapToGrid w:val="0"/>
        <w:jc w:val="center"/>
        <w:rPr>
          <w:rFonts w:ascii="黑体" w:eastAsia="黑体" w:hAnsi="黑体" w:cs="方正小标宋简体"/>
          <w:sz w:val="28"/>
          <w:szCs w:val="28"/>
        </w:rPr>
      </w:pPr>
      <w:r>
        <w:rPr>
          <w:rFonts w:ascii="黑体" w:eastAsia="黑体" w:hAnsi="黑体" w:cs="方正小标宋简体" w:hint="eastAsia"/>
          <w:sz w:val="28"/>
          <w:szCs w:val="28"/>
        </w:rPr>
        <w:t>西平县城市区域声环境功能区划分一览表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1181"/>
        <w:gridCol w:w="4809"/>
        <w:gridCol w:w="1103"/>
        <w:gridCol w:w="922"/>
      </w:tblGrid>
      <w:tr w:rsidR="00EB38B8" w:rsidRPr="0061159B">
        <w:trPr>
          <w:tblHeader/>
        </w:trPr>
        <w:tc>
          <w:tcPr>
            <w:tcW w:w="504" w:type="dxa"/>
            <w:vAlign w:val="center"/>
          </w:tcPr>
          <w:p w:rsidR="00EB38B8" w:rsidRDefault="00EB38B8">
            <w:pPr>
              <w:spacing w:line="300" w:lineRule="exact"/>
              <w:rPr>
                <w:rFonts w:ascii="宋体" w:cs="宋体"/>
                <w:sz w:val="24"/>
              </w:rPr>
            </w:pPr>
            <w:r>
              <w:rPr>
                <w:rFonts w:ascii="宋体" w:hAnsi="宋体" w:cs="宋体" w:hint="eastAsia"/>
                <w:sz w:val="24"/>
              </w:rPr>
              <w:t>类别</w:t>
            </w:r>
          </w:p>
        </w:tc>
        <w:tc>
          <w:tcPr>
            <w:tcW w:w="1181" w:type="dxa"/>
            <w:vAlign w:val="center"/>
          </w:tcPr>
          <w:p w:rsidR="00EB38B8" w:rsidRDefault="00EB38B8">
            <w:pPr>
              <w:spacing w:line="300" w:lineRule="exact"/>
              <w:jc w:val="center"/>
              <w:rPr>
                <w:rFonts w:ascii="宋体" w:cs="宋体"/>
                <w:sz w:val="24"/>
              </w:rPr>
            </w:pPr>
            <w:r>
              <w:rPr>
                <w:rFonts w:ascii="宋体" w:hAnsi="宋体" w:cs="宋体" w:hint="eastAsia"/>
                <w:sz w:val="24"/>
              </w:rPr>
              <w:t>功能</w:t>
            </w:r>
          </w:p>
        </w:tc>
        <w:tc>
          <w:tcPr>
            <w:tcW w:w="4809" w:type="dxa"/>
            <w:vAlign w:val="center"/>
          </w:tcPr>
          <w:p w:rsidR="00EB38B8" w:rsidRDefault="00EB38B8">
            <w:pPr>
              <w:spacing w:line="300" w:lineRule="exact"/>
              <w:jc w:val="center"/>
              <w:rPr>
                <w:rFonts w:ascii="宋体" w:cs="宋体"/>
                <w:sz w:val="24"/>
              </w:rPr>
            </w:pPr>
            <w:r>
              <w:rPr>
                <w:rFonts w:ascii="宋体" w:hAnsi="宋体" w:cs="宋体" w:hint="eastAsia"/>
                <w:sz w:val="24"/>
              </w:rPr>
              <w:t>片区（交通干线）名称</w:t>
            </w:r>
          </w:p>
        </w:tc>
        <w:tc>
          <w:tcPr>
            <w:tcW w:w="1103" w:type="dxa"/>
            <w:vAlign w:val="center"/>
          </w:tcPr>
          <w:p w:rsidR="00EB38B8" w:rsidRDefault="00EB38B8">
            <w:pPr>
              <w:spacing w:line="300" w:lineRule="exact"/>
              <w:jc w:val="center"/>
              <w:rPr>
                <w:rFonts w:ascii="宋体" w:cs="宋体"/>
                <w:sz w:val="24"/>
              </w:rPr>
            </w:pPr>
            <w:r>
              <w:rPr>
                <w:rFonts w:ascii="宋体" w:hAnsi="宋体" w:cs="宋体" w:hint="eastAsia"/>
                <w:sz w:val="24"/>
              </w:rPr>
              <w:t>总面积约（</w:t>
            </w:r>
            <w:r>
              <w:rPr>
                <w:rFonts w:ascii="宋体" w:hAnsi="宋体" w:cs="宋体"/>
                <w:sz w:val="24"/>
              </w:rPr>
              <w:t>km</w:t>
            </w:r>
            <w:r>
              <w:rPr>
                <w:rFonts w:ascii="宋体" w:hAnsi="宋体" w:cs="宋体"/>
                <w:sz w:val="24"/>
                <w:vertAlign w:val="superscript"/>
              </w:rPr>
              <w:t>2</w:t>
            </w:r>
            <w:r>
              <w:rPr>
                <w:rFonts w:ascii="宋体" w:hAnsi="宋体" w:cs="宋体" w:hint="eastAsia"/>
                <w:sz w:val="24"/>
              </w:rPr>
              <w:t>）</w:t>
            </w:r>
          </w:p>
        </w:tc>
        <w:tc>
          <w:tcPr>
            <w:tcW w:w="922" w:type="dxa"/>
            <w:vAlign w:val="center"/>
          </w:tcPr>
          <w:p w:rsidR="00EB38B8" w:rsidRDefault="00EB38B8">
            <w:pPr>
              <w:spacing w:line="300" w:lineRule="exact"/>
              <w:jc w:val="center"/>
              <w:rPr>
                <w:rFonts w:ascii="宋体" w:cs="宋体"/>
                <w:sz w:val="24"/>
              </w:rPr>
            </w:pPr>
            <w:r>
              <w:rPr>
                <w:rFonts w:ascii="宋体" w:hAnsi="宋体" w:cs="宋体" w:hint="eastAsia"/>
                <w:sz w:val="24"/>
              </w:rPr>
              <w:t>约占区划总面积（</w:t>
            </w:r>
            <w:r>
              <w:rPr>
                <w:rFonts w:ascii="宋体" w:hAnsi="宋体" w:cs="宋体"/>
                <w:sz w:val="24"/>
              </w:rPr>
              <w:t>%</w:t>
            </w:r>
            <w:r>
              <w:rPr>
                <w:rFonts w:ascii="宋体" w:hAnsi="宋体" w:cs="宋体" w:hint="eastAsia"/>
                <w:sz w:val="24"/>
              </w:rPr>
              <w:t>）</w:t>
            </w:r>
          </w:p>
        </w:tc>
      </w:tr>
      <w:tr w:rsidR="00EB38B8" w:rsidRPr="0061159B">
        <w:trPr>
          <w:trHeight w:val="1244"/>
        </w:trPr>
        <w:tc>
          <w:tcPr>
            <w:tcW w:w="504" w:type="dxa"/>
            <w:vAlign w:val="center"/>
          </w:tcPr>
          <w:p w:rsidR="00EB38B8" w:rsidRDefault="00EB38B8">
            <w:pPr>
              <w:spacing w:line="300" w:lineRule="exact"/>
              <w:rPr>
                <w:rFonts w:ascii="宋体" w:cs="宋体"/>
                <w:sz w:val="24"/>
              </w:rPr>
            </w:pPr>
            <w:r>
              <w:rPr>
                <w:rFonts w:ascii="宋体" w:hAnsi="宋体" w:cs="宋体"/>
                <w:sz w:val="24"/>
              </w:rPr>
              <w:t>1</w:t>
            </w:r>
          </w:p>
        </w:tc>
        <w:tc>
          <w:tcPr>
            <w:tcW w:w="1181" w:type="dxa"/>
            <w:vAlign w:val="center"/>
          </w:tcPr>
          <w:p w:rsidR="00EB38B8" w:rsidRDefault="00EB38B8">
            <w:pPr>
              <w:spacing w:line="300" w:lineRule="exact"/>
              <w:jc w:val="left"/>
              <w:rPr>
                <w:rFonts w:ascii="宋体" w:cs="宋体"/>
                <w:sz w:val="24"/>
              </w:rPr>
            </w:pPr>
            <w:r>
              <w:rPr>
                <w:rFonts w:ascii="宋体" w:hAnsi="宋体" w:cs="宋体" w:hint="eastAsia"/>
                <w:sz w:val="24"/>
              </w:rPr>
              <w:t>居住、文教为主区域</w:t>
            </w:r>
          </w:p>
        </w:tc>
        <w:tc>
          <w:tcPr>
            <w:tcW w:w="4809" w:type="dxa"/>
            <w:vAlign w:val="center"/>
          </w:tcPr>
          <w:p w:rsidR="00EB38B8" w:rsidRDefault="00EB38B8">
            <w:pPr>
              <w:spacing w:line="300" w:lineRule="exact"/>
              <w:jc w:val="left"/>
              <w:rPr>
                <w:rFonts w:ascii="宋体" w:cs="宋体"/>
                <w:sz w:val="24"/>
              </w:rPr>
            </w:pPr>
            <w:r>
              <w:rPr>
                <w:rFonts w:ascii="宋体" w:hAnsi="宋体" w:cs="宋体" w:hint="eastAsia"/>
                <w:sz w:val="24"/>
              </w:rPr>
              <w:t>西平县城市区域以过境绕城公路（北环路）、启航路、柏苑大道、护城河路、未来大道、交通路、龙泉大道、棠溪大道、洪河以北与城市西边界合围区域</w:t>
            </w:r>
            <w:r w:rsidRPr="0061159B">
              <w:rPr>
                <w:rFonts w:ascii="宋体" w:hAnsi="宋体" w:cs="宋体" w:hint="eastAsia"/>
                <w:sz w:val="24"/>
              </w:rPr>
              <w:t>。</w:t>
            </w:r>
          </w:p>
        </w:tc>
        <w:tc>
          <w:tcPr>
            <w:tcW w:w="1103" w:type="dxa"/>
            <w:vAlign w:val="center"/>
          </w:tcPr>
          <w:p w:rsidR="00EB38B8" w:rsidRDefault="00EB38B8">
            <w:pPr>
              <w:spacing w:line="300" w:lineRule="exact"/>
              <w:jc w:val="center"/>
              <w:rPr>
                <w:rFonts w:ascii="宋体" w:cs="宋体"/>
                <w:sz w:val="24"/>
              </w:rPr>
            </w:pPr>
            <w:r w:rsidRPr="0061159B">
              <w:rPr>
                <w:rFonts w:ascii="宋体" w:hAnsi="宋体" w:cs="宋体"/>
                <w:sz w:val="24"/>
              </w:rPr>
              <w:t>31.1</w:t>
            </w:r>
          </w:p>
        </w:tc>
        <w:tc>
          <w:tcPr>
            <w:tcW w:w="922" w:type="dxa"/>
            <w:vAlign w:val="center"/>
          </w:tcPr>
          <w:p w:rsidR="00EB38B8" w:rsidRDefault="00EB38B8">
            <w:pPr>
              <w:spacing w:line="300" w:lineRule="exact"/>
              <w:jc w:val="center"/>
              <w:rPr>
                <w:rFonts w:ascii="宋体" w:cs="宋体"/>
                <w:sz w:val="24"/>
              </w:rPr>
            </w:pPr>
            <w:r w:rsidRPr="0061159B">
              <w:rPr>
                <w:rFonts w:ascii="宋体" w:hAnsi="宋体" w:cs="宋体"/>
                <w:sz w:val="24"/>
              </w:rPr>
              <w:t>48.5</w:t>
            </w:r>
            <w:r>
              <w:rPr>
                <w:rFonts w:ascii="宋体" w:hAnsi="宋体" w:cs="宋体"/>
                <w:sz w:val="24"/>
              </w:rPr>
              <w:t>%</w:t>
            </w:r>
          </w:p>
        </w:tc>
      </w:tr>
      <w:tr w:rsidR="00EB38B8" w:rsidRPr="0061159B">
        <w:trPr>
          <w:trHeight w:val="1052"/>
        </w:trPr>
        <w:tc>
          <w:tcPr>
            <w:tcW w:w="504" w:type="dxa"/>
            <w:vAlign w:val="center"/>
          </w:tcPr>
          <w:p w:rsidR="00EB38B8" w:rsidRDefault="00EB38B8">
            <w:pPr>
              <w:spacing w:line="300" w:lineRule="exact"/>
              <w:rPr>
                <w:rFonts w:ascii="宋体" w:cs="宋体"/>
                <w:sz w:val="24"/>
              </w:rPr>
            </w:pPr>
            <w:r>
              <w:rPr>
                <w:rFonts w:ascii="宋体" w:hAnsi="宋体" w:cs="宋体"/>
                <w:sz w:val="24"/>
              </w:rPr>
              <w:t>2</w:t>
            </w:r>
          </w:p>
        </w:tc>
        <w:tc>
          <w:tcPr>
            <w:tcW w:w="1181" w:type="dxa"/>
            <w:vAlign w:val="center"/>
          </w:tcPr>
          <w:p w:rsidR="00EB38B8" w:rsidRDefault="00EB38B8">
            <w:pPr>
              <w:rPr>
                <w:rFonts w:ascii="宋体" w:cs="宋体"/>
                <w:sz w:val="24"/>
              </w:rPr>
            </w:pPr>
            <w:r>
              <w:rPr>
                <w:rFonts w:ascii="宋体" w:hAnsi="宋体" w:cs="宋体" w:hint="eastAsia"/>
                <w:sz w:val="24"/>
              </w:rPr>
              <w:t>居住、商业、工业混杂区</w:t>
            </w:r>
          </w:p>
        </w:tc>
        <w:tc>
          <w:tcPr>
            <w:tcW w:w="4809" w:type="dxa"/>
            <w:vAlign w:val="center"/>
          </w:tcPr>
          <w:p w:rsidR="00EB38B8" w:rsidRDefault="00EB38B8">
            <w:pPr>
              <w:jc w:val="left"/>
              <w:rPr>
                <w:rFonts w:ascii="宋体" w:cs="宋体"/>
                <w:sz w:val="24"/>
              </w:rPr>
            </w:pPr>
            <w:r>
              <w:rPr>
                <w:rFonts w:ascii="宋体" w:hAnsi="宋体" w:cs="宋体" w:hint="eastAsia"/>
                <w:sz w:val="24"/>
              </w:rPr>
              <w:t>启航路、柏苑大道、护城河路、未来大道、交通路、龙泉大道、棠溪大道、嫘祖大道、柏国大道、建设路、仙女河北路、护城河路、柏国大道、义冈路、学苑路合围区域</w:t>
            </w:r>
          </w:p>
        </w:tc>
        <w:tc>
          <w:tcPr>
            <w:tcW w:w="1103" w:type="dxa"/>
            <w:vAlign w:val="center"/>
          </w:tcPr>
          <w:p w:rsidR="00EB38B8" w:rsidRDefault="00EB38B8">
            <w:pPr>
              <w:spacing w:line="300" w:lineRule="exact"/>
              <w:jc w:val="center"/>
              <w:rPr>
                <w:rFonts w:ascii="宋体" w:cs="宋体"/>
                <w:sz w:val="24"/>
              </w:rPr>
            </w:pPr>
            <w:r>
              <w:rPr>
                <w:rFonts w:ascii="宋体" w:hAnsi="宋体" w:cs="宋体"/>
                <w:sz w:val="24"/>
              </w:rPr>
              <w:t>15.13</w:t>
            </w:r>
          </w:p>
        </w:tc>
        <w:tc>
          <w:tcPr>
            <w:tcW w:w="922" w:type="dxa"/>
            <w:vAlign w:val="center"/>
          </w:tcPr>
          <w:p w:rsidR="00EB38B8" w:rsidRDefault="00EB38B8">
            <w:pPr>
              <w:spacing w:line="300" w:lineRule="exact"/>
              <w:jc w:val="center"/>
              <w:rPr>
                <w:rFonts w:ascii="宋体" w:cs="宋体"/>
                <w:sz w:val="24"/>
              </w:rPr>
            </w:pPr>
            <w:r w:rsidRPr="0061159B">
              <w:rPr>
                <w:rFonts w:ascii="宋体" w:hAnsi="宋体" w:cs="宋体"/>
                <w:sz w:val="24"/>
              </w:rPr>
              <w:t>23.6</w:t>
            </w:r>
            <w:r>
              <w:rPr>
                <w:rFonts w:ascii="宋体" w:hAnsi="宋体" w:cs="宋体"/>
                <w:sz w:val="24"/>
              </w:rPr>
              <w:t>%</w:t>
            </w:r>
          </w:p>
        </w:tc>
      </w:tr>
      <w:tr w:rsidR="00EB38B8" w:rsidRPr="0061159B">
        <w:trPr>
          <w:trHeight w:val="1044"/>
        </w:trPr>
        <w:tc>
          <w:tcPr>
            <w:tcW w:w="504" w:type="dxa"/>
            <w:vAlign w:val="center"/>
          </w:tcPr>
          <w:p w:rsidR="00EB38B8" w:rsidRDefault="00EB38B8">
            <w:pPr>
              <w:spacing w:line="300" w:lineRule="exact"/>
              <w:rPr>
                <w:rFonts w:ascii="宋体" w:cs="宋体"/>
                <w:sz w:val="24"/>
              </w:rPr>
            </w:pPr>
            <w:r>
              <w:rPr>
                <w:rFonts w:ascii="宋体" w:hAnsi="宋体" w:cs="宋体"/>
                <w:sz w:val="24"/>
              </w:rPr>
              <w:t>3</w:t>
            </w:r>
          </w:p>
        </w:tc>
        <w:tc>
          <w:tcPr>
            <w:tcW w:w="1181" w:type="dxa"/>
            <w:vAlign w:val="center"/>
          </w:tcPr>
          <w:p w:rsidR="00EB38B8" w:rsidRDefault="00EB38B8">
            <w:pPr>
              <w:spacing w:line="300" w:lineRule="exact"/>
              <w:rPr>
                <w:rFonts w:ascii="宋体" w:cs="宋体"/>
                <w:sz w:val="24"/>
              </w:rPr>
            </w:pPr>
            <w:r>
              <w:rPr>
                <w:rFonts w:ascii="宋体" w:hAnsi="宋体" w:cs="宋体" w:hint="eastAsia"/>
                <w:sz w:val="24"/>
              </w:rPr>
              <w:t>以工业生产、仓储物流为主区域</w:t>
            </w:r>
          </w:p>
        </w:tc>
        <w:tc>
          <w:tcPr>
            <w:tcW w:w="4809" w:type="dxa"/>
            <w:vAlign w:val="center"/>
          </w:tcPr>
          <w:p w:rsidR="00EB38B8" w:rsidRDefault="00EB38B8">
            <w:pPr>
              <w:spacing w:line="300" w:lineRule="exact"/>
              <w:jc w:val="left"/>
              <w:rPr>
                <w:rFonts w:ascii="宋体" w:cs="宋体"/>
                <w:sz w:val="24"/>
              </w:rPr>
            </w:pPr>
            <w:r>
              <w:rPr>
                <w:rFonts w:ascii="宋体" w:hAnsi="宋体" w:cs="宋体" w:hint="eastAsia"/>
                <w:sz w:val="24"/>
              </w:rPr>
              <w:t>由洪河、嫘祖大道、柏国大道、建设路、仙女河北路、护城河路、京广铁路、义冈路、学苑路与城市南边界合围区域。</w:t>
            </w:r>
          </w:p>
        </w:tc>
        <w:tc>
          <w:tcPr>
            <w:tcW w:w="1103" w:type="dxa"/>
            <w:vAlign w:val="center"/>
          </w:tcPr>
          <w:p w:rsidR="00EB38B8" w:rsidRDefault="00EB38B8">
            <w:pPr>
              <w:spacing w:line="300" w:lineRule="exact"/>
              <w:jc w:val="center"/>
              <w:rPr>
                <w:rFonts w:ascii="宋体" w:cs="宋体"/>
                <w:sz w:val="24"/>
              </w:rPr>
            </w:pPr>
            <w:r w:rsidRPr="0061159B">
              <w:rPr>
                <w:rFonts w:ascii="宋体" w:hAnsi="宋体" w:cs="宋体"/>
                <w:sz w:val="24"/>
              </w:rPr>
              <w:t>17.86</w:t>
            </w:r>
          </w:p>
        </w:tc>
        <w:tc>
          <w:tcPr>
            <w:tcW w:w="922" w:type="dxa"/>
            <w:vAlign w:val="center"/>
          </w:tcPr>
          <w:p w:rsidR="00EB38B8" w:rsidRDefault="00EB38B8">
            <w:pPr>
              <w:spacing w:line="300" w:lineRule="exact"/>
              <w:jc w:val="center"/>
              <w:rPr>
                <w:rFonts w:ascii="宋体" w:cs="宋体"/>
                <w:sz w:val="24"/>
              </w:rPr>
            </w:pPr>
            <w:r>
              <w:rPr>
                <w:rFonts w:ascii="宋体" w:hAnsi="宋体" w:cs="宋体"/>
                <w:sz w:val="24"/>
              </w:rPr>
              <w:t>27.9%</w:t>
            </w:r>
          </w:p>
        </w:tc>
      </w:tr>
      <w:tr w:rsidR="00EB38B8" w:rsidRPr="0061159B">
        <w:trPr>
          <w:trHeight w:val="1652"/>
        </w:trPr>
        <w:tc>
          <w:tcPr>
            <w:tcW w:w="504" w:type="dxa"/>
            <w:vMerge w:val="restart"/>
            <w:vAlign w:val="center"/>
          </w:tcPr>
          <w:p w:rsidR="00EB38B8" w:rsidRDefault="00EB38B8">
            <w:pPr>
              <w:spacing w:line="300" w:lineRule="exact"/>
              <w:rPr>
                <w:rFonts w:ascii="宋体" w:cs="宋体"/>
                <w:sz w:val="24"/>
              </w:rPr>
            </w:pPr>
            <w:r>
              <w:rPr>
                <w:rFonts w:ascii="宋体" w:hAnsi="宋体" w:cs="宋体"/>
                <w:sz w:val="24"/>
              </w:rPr>
              <w:t>4</w:t>
            </w:r>
          </w:p>
        </w:tc>
        <w:tc>
          <w:tcPr>
            <w:tcW w:w="1181" w:type="dxa"/>
            <w:vMerge w:val="restart"/>
            <w:vAlign w:val="center"/>
          </w:tcPr>
          <w:p w:rsidR="00EB38B8" w:rsidRDefault="00EB38B8">
            <w:pPr>
              <w:spacing w:line="300" w:lineRule="exact"/>
              <w:rPr>
                <w:rFonts w:ascii="宋体" w:cs="宋体"/>
                <w:sz w:val="24"/>
              </w:rPr>
            </w:pPr>
            <w:r>
              <w:rPr>
                <w:rFonts w:ascii="宋体" w:hAnsi="宋体" w:cs="宋体" w:hint="eastAsia"/>
                <w:sz w:val="24"/>
              </w:rPr>
              <w:t>道路交通干线两侧区域及车站</w:t>
            </w:r>
          </w:p>
        </w:tc>
        <w:tc>
          <w:tcPr>
            <w:tcW w:w="4809" w:type="dxa"/>
            <w:vAlign w:val="center"/>
          </w:tcPr>
          <w:p w:rsidR="00EB38B8" w:rsidRDefault="00EB38B8">
            <w:pPr>
              <w:spacing w:line="240" w:lineRule="exact"/>
              <w:rPr>
                <w:rFonts w:ascii="宋体" w:cs="宋体"/>
                <w:bCs/>
                <w:sz w:val="24"/>
              </w:rPr>
            </w:pP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b/>
                  <w:sz w:val="24"/>
                </w:rPr>
                <w:t>4a</w:t>
              </w:r>
            </w:smartTag>
            <w:r>
              <w:rPr>
                <w:rFonts w:ascii="宋体" w:hAnsi="宋体" w:cs="宋体" w:hint="eastAsia"/>
                <w:b/>
                <w:sz w:val="24"/>
              </w:rPr>
              <w:t>类：</w:t>
            </w:r>
            <w:r>
              <w:rPr>
                <w:rFonts w:ascii="宋体" w:hAnsi="宋体" w:cs="宋体" w:hint="eastAsia"/>
                <w:bCs/>
                <w:sz w:val="24"/>
              </w:rPr>
              <w:t>南北向为剑源大道、嫘祖大道、紫荆路、凤鸣大道、解放路、护城河路、交通路、启航路、创业路、豫坡大道；</w:t>
            </w:r>
          </w:p>
          <w:p w:rsidR="00EB38B8" w:rsidRDefault="00EB38B8">
            <w:pPr>
              <w:spacing w:line="240" w:lineRule="exact"/>
              <w:rPr>
                <w:rFonts w:ascii="宋体" w:cs="宋体"/>
                <w:sz w:val="24"/>
              </w:rPr>
            </w:pPr>
            <w:r>
              <w:rPr>
                <w:rFonts w:ascii="宋体" w:hAnsi="宋体" w:cs="宋体" w:hint="eastAsia"/>
                <w:bCs/>
                <w:sz w:val="24"/>
              </w:rPr>
              <w:t>东西向为环城北路、柏苑大道、柏亭大道、西陵大道、未来大道、西平大道、柏城大道、龙泉大道、中原大道、棠溪大道、柏国大道、工业大道、金凤大道、柳堰河路。</w:t>
            </w:r>
            <w:r>
              <w:rPr>
                <w:rFonts w:ascii="宋体" w:hAnsi="宋体" w:cs="宋体"/>
                <w:bCs/>
                <w:sz w:val="24"/>
              </w:rPr>
              <w:t xml:space="preserve">  </w:t>
            </w:r>
          </w:p>
        </w:tc>
        <w:tc>
          <w:tcPr>
            <w:tcW w:w="2025" w:type="dxa"/>
            <w:gridSpan w:val="2"/>
            <w:vAlign w:val="center"/>
          </w:tcPr>
          <w:p w:rsidR="00EB38B8" w:rsidRDefault="00EB38B8">
            <w:pPr>
              <w:rPr>
                <w:rFonts w:ascii="宋体" w:cs="宋体"/>
                <w:szCs w:val="21"/>
              </w:rPr>
            </w:pPr>
            <w:r>
              <w:rPr>
                <w:rFonts w:ascii="宋体" w:hAnsi="宋体" w:cs="宋体" w:hint="eastAsia"/>
                <w:szCs w:val="21"/>
              </w:rPr>
              <w:t>道路两侧各距红线垂直距离为：相邻</w:t>
            </w:r>
            <w:r>
              <w:rPr>
                <w:rFonts w:ascii="宋体" w:hAnsi="宋体" w:cs="宋体"/>
                <w:szCs w:val="21"/>
              </w:rPr>
              <w:t>1</w:t>
            </w:r>
            <w:r>
              <w:rPr>
                <w:rFonts w:ascii="宋体" w:hAnsi="宋体" w:cs="宋体" w:hint="eastAsia"/>
                <w:szCs w:val="21"/>
              </w:rPr>
              <w:t>类区域为</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szCs w:val="21"/>
                </w:rPr>
                <w:t>50</w:t>
              </w:r>
              <w:r>
                <w:rPr>
                  <w:rFonts w:ascii="宋体" w:hAnsi="宋体" w:cs="宋体" w:hint="eastAsia"/>
                  <w:szCs w:val="21"/>
                </w:rPr>
                <w:t>米</w:t>
              </w:r>
            </w:smartTag>
            <w:r>
              <w:rPr>
                <w:rFonts w:ascii="宋体" w:hAnsi="宋体" w:cs="宋体" w:hint="eastAsia"/>
                <w:szCs w:val="21"/>
              </w:rPr>
              <w:t>，</w:t>
            </w:r>
            <w:r>
              <w:rPr>
                <w:rFonts w:ascii="宋体" w:hAnsi="宋体" w:cs="宋体"/>
                <w:szCs w:val="21"/>
              </w:rPr>
              <w:t>2</w:t>
            </w:r>
            <w:r>
              <w:rPr>
                <w:rFonts w:ascii="宋体" w:hAnsi="宋体" w:cs="宋体" w:hint="eastAsia"/>
                <w:szCs w:val="21"/>
              </w:rPr>
              <w:t>类区域为</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szCs w:val="21"/>
                </w:rPr>
                <w:t>35</w:t>
              </w:r>
              <w:r>
                <w:rPr>
                  <w:rFonts w:ascii="宋体" w:hAnsi="宋体" w:cs="宋体" w:hint="eastAsia"/>
                  <w:szCs w:val="21"/>
                </w:rPr>
                <w:t>米</w:t>
              </w:r>
            </w:smartTag>
            <w:r>
              <w:rPr>
                <w:rFonts w:ascii="宋体" w:hAnsi="宋体" w:cs="宋体" w:hint="eastAsia"/>
                <w:szCs w:val="21"/>
              </w:rPr>
              <w:t>，</w:t>
            </w:r>
            <w:r>
              <w:rPr>
                <w:rFonts w:ascii="宋体" w:hAnsi="宋体" w:cs="宋体"/>
                <w:szCs w:val="21"/>
              </w:rPr>
              <w:t>3</w:t>
            </w:r>
            <w:r>
              <w:rPr>
                <w:rFonts w:ascii="宋体" w:hAnsi="宋体" w:cs="宋体" w:hint="eastAsia"/>
                <w:szCs w:val="21"/>
              </w:rPr>
              <w:t>类区域为</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szCs w:val="21"/>
                </w:rPr>
                <w:t>20</w:t>
              </w:r>
              <w:r>
                <w:rPr>
                  <w:rFonts w:ascii="宋体" w:hAnsi="宋体" w:cs="宋体" w:hint="eastAsia"/>
                  <w:szCs w:val="21"/>
                </w:rPr>
                <w:t>米</w:t>
              </w:r>
            </w:smartTag>
          </w:p>
        </w:tc>
      </w:tr>
      <w:tr w:rsidR="00EB38B8" w:rsidRPr="0061159B">
        <w:trPr>
          <w:trHeight w:val="448"/>
        </w:trPr>
        <w:tc>
          <w:tcPr>
            <w:tcW w:w="504" w:type="dxa"/>
            <w:vMerge/>
            <w:vAlign w:val="center"/>
          </w:tcPr>
          <w:p w:rsidR="00EB38B8" w:rsidRDefault="00EB38B8">
            <w:pPr>
              <w:spacing w:line="300" w:lineRule="exact"/>
              <w:rPr>
                <w:rFonts w:ascii="宋体" w:cs="宋体"/>
                <w:sz w:val="24"/>
              </w:rPr>
            </w:pPr>
          </w:p>
        </w:tc>
        <w:tc>
          <w:tcPr>
            <w:tcW w:w="1181" w:type="dxa"/>
            <w:vMerge/>
            <w:vAlign w:val="center"/>
          </w:tcPr>
          <w:p w:rsidR="00EB38B8" w:rsidRDefault="00EB38B8">
            <w:pPr>
              <w:spacing w:line="300" w:lineRule="exact"/>
              <w:rPr>
                <w:rFonts w:ascii="宋体" w:cs="宋体"/>
                <w:sz w:val="24"/>
              </w:rPr>
            </w:pPr>
          </w:p>
        </w:tc>
        <w:tc>
          <w:tcPr>
            <w:tcW w:w="4809" w:type="dxa"/>
            <w:vAlign w:val="center"/>
          </w:tcPr>
          <w:p w:rsidR="00EB38B8" w:rsidRDefault="00EB38B8">
            <w:pPr>
              <w:spacing w:line="240" w:lineRule="exact"/>
              <w:rPr>
                <w:rFonts w:ascii="宋体" w:cs="宋体"/>
                <w:b/>
                <w:sz w:val="24"/>
              </w:rPr>
            </w:pPr>
            <w:r>
              <w:rPr>
                <w:rFonts w:ascii="宋体" w:hAnsi="宋体" w:cs="宋体"/>
                <w:b/>
                <w:bCs/>
                <w:sz w:val="24"/>
              </w:rPr>
              <w:t>4b</w:t>
            </w:r>
            <w:r>
              <w:rPr>
                <w:rFonts w:ascii="宋体" w:hAnsi="宋体" w:cs="宋体" w:hint="eastAsia"/>
                <w:b/>
                <w:bCs/>
                <w:sz w:val="24"/>
              </w:rPr>
              <w:t>类：</w:t>
            </w:r>
            <w:r w:rsidRPr="0061159B">
              <w:rPr>
                <w:rFonts w:ascii="宋体" w:hAnsi="宋体" w:cs="宋体" w:hint="eastAsia"/>
                <w:sz w:val="24"/>
              </w:rPr>
              <w:t>京广</w:t>
            </w:r>
            <w:r>
              <w:rPr>
                <w:rFonts w:ascii="宋体" w:hAnsi="宋体" w:cs="宋体" w:hint="eastAsia"/>
                <w:sz w:val="24"/>
              </w:rPr>
              <w:t>铁路</w:t>
            </w:r>
          </w:p>
        </w:tc>
        <w:tc>
          <w:tcPr>
            <w:tcW w:w="2025" w:type="dxa"/>
            <w:gridSpan w:val="2"/>
            <w:vAlign w:val="center"/>
          </w:tcPr>
          <w:p w:rsidR="00EB38B8" w:rsidRDefault="00EB38B8">
            <w:pPr>
              <w:rPr>
                <w:rFonts w:ascii="宋体" w:cs="宋体"/>
                <w:szCs w:val="21"/>
              </w:rPr>
            </w:pPr>
            <w:r>
              <w:rPr>
                <w:rFonts w:ascii="宋体" w:hAnsi="宋体" w:cs="宋体" w:hint="eastAsia"/>
                <w:szCs w:val="21"/>
              </w:rPr>
              <w:t>铁两侧各距红线垂直距离为：相邻</w:t>
            </w:r>
            <w:r>
              <w:rPr>
                <w:rFonts w:ascii="宋体" w:hAnsi="宋体" w:cs="宋体"/>
                <w:szCs w:val="21"/>
              </w:rPr>
              <w:t>1</w:t>
            </w:r>
            <w:r>
              <w:rPr>
                <w:rFonts w:ascii="宋体" w:hAnsi="宋体" w:cs="宋体" w:hint="eastAsia"/>
                <w:szCs w:val="21"/>
              </w:rPr>
              <w:t>类区域为</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szCs w:val="21"/>
                </w:rPr>
                <w:t>50</w:t>
              </w:r>
              <w:r>
                <w:rPr>
                  <w:rFonts w:ascii="宋体" w:hAnsi="宋体" w:cs="宋体" w:hint="eastAsia"/>
                  <w:szCs w:val="21"/>
                </w:rPr>
                <w:t>米</w:t>
              </w:r>
            </w:smartTag>
            <w:r>
              <w:rPr>
                <w:rFonts w:ascii="宋体" w:hAnsi="宋体" w:cs="宋体" w:hint="eastAsia"/>
                <w:szCs w:val="21"/>
              </w:rPr>
              <w:t>，</w:t>
            </w:r>
            <w:r>
              <w:rPr>
                <w:rFonts w:ascii="宋体" w:hAnsi="宋体" w:cs="宋体"/>
                <w:szCs w:val="21"/>
              </w:rPr>
              <w:t>2</w:t>
            </w:r>
            <w:r>
              <w:rPr>
                <w:rFonts w:ascii="宋体" w:hAnsi="宋体" w:cs="宋体" w:hint="eastAsia"/>
                <w:szCs w:val="21"/>
              </w:rPr>
              <w:t>类区域为</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szCs w:val="21"/>
                </w:rPr>
                <w:t>35</w:t>
              </w:r>
              <w:r>
                <w:rPr>
                  <w:rFonts w:ascii="宋体" w:hAnsi="宋体" w:cs="宋体" w:hint="eastAsia"/>
                  <w:szCs w:val="21"/>
                </w:rPr>
                <w:t>米</w:t>
              </w:r>
            </w:smartTag>
            <w:r>
              <w:rPr>
                <w:rFonts w:ascii="宋体" w:hAnsi="宋体" w:cs="宋体" w:hint="eastAsia"/>
                <w:szCs w:val="21"/>
              </w:rPr>
              <w:t>，</w:t>
            </w:r>
            <w:r>
              <w:rPr>
                <w:rFonts w:ascii="宋体" w:hAnsi="宋体" w:cs="宋体"/>
                <w:szCs w:val="21"/>
              </w:rPr>
              <w:t>3</w:t>
            </w:r>
            <w:r>
              <w:rPr>
                <w:rFonts w:ascii="宋体" w:hAnsi="宋体" w:cs="宋体" w:hint="eastAsia"/>
                <w:szCs w:val="21"/>
              </w:rPr>
              <w:t>类区域为</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szCs w:val="21"/>
                </w:rPr>
                <w:t>20</w:t>
              </w:r>
              <w:r>
                <w:rPr>
                  <w:rFonts w:ascii="宋体" w:hAnsi="宋体" w:cs="宋体" w:hint="eastAsia"/>
                  <w:szCs w:val="21"/>
                </w:rPr>
                <w:t>米</w:t>
              </w:r>
            </w:smartTag>
          </w:p>
        </w:tc>
      </w:tr>
      <w:tr w:rsidR="00EB38B8" w:rsidRPr="0061159B">
        <w:trPr>
          <w:trHeight w:val="516"/>
        </w:trPr>
        <w:tc>
          <w:tcPr>
            <w:tcW w:w="6494" w:type="dxa"/>
            <w:gridSpan w:val="3"/>
            <w:vAlign w:val="center"/>
          </w:tcPr>
          <w:p w:rsidR="00EB38B8" w:rsidRDefault="00EB38B8">
            <w:pPr>
              <w:spacing w:line="240" w:lineRule="exact"/>
              <w:jc w:val="center"/>
              <w:rPr>
                <w:rFonts w:ascii="宋体" w:cs="宋体"/>
                <w:sz w:val="24"/>
              </w:rPr>
            </w:pPr>
            <w:r>
              <w:rPr>
                <w:rFonts w:ascii="宋体" w:hAnsi="宋体" w:cs="宋体" w:hint="eastAsia"/>
                <w:sz w:val="24"/>
              </w:rPr>
              <w:t>合计</w:t>
            </w:r>
          </w:p>
        </w:tc>
        <w:tc>
          <w:tcPr>
            <w:tcW w:w="1103" w:type="dxa"/>
            <w:vAlign w:val="center"/>
          </w:tcPr>
          <w:p w:rsidR="00EB38B8" w:rsidRDefault="00EB38B8">
            <w:pPr>
              <w:spacing w:line="240" w:lineRule="exact"/>
              <w:jc w:val="center"/>
              <w:rPr>
                <w:rFonts w:ascii="宋体" w:cs="宋体"/>
                <w:sz w:val="24"/>
              </w:rPr>
            </w:pPr>
            <w:r w:rsidRPr="0061159B">
              <w:rPr>
                <w:rFonts w:ascii="宋体" w:hAnsi="宋体" w:cs="宋体"/>
                <w:sz w:val="24"/>
              </w:rPr>
              <w:t>64.09</w:t>
            </w:r>
          </w:p>
        </w:tc>
        <w:tc>
          <w:tcPr>
            <w:tcW w:w="922" w:type="dxa"/>
            <w:vAlign w:val="center"/>
          </w:tcPr>
          <w:p w:rsidR="00EB38B8" w:rsidRDefault="00EB38B8">
            <w:pPr>
              <w:spacing w:line="240" w:lineRule="exact"/>
              <w:jc w:val="center"/>
              <w:rPr>
                <w:rFonts w:ascii="宋体" w:cs="宋体"/>
                <w:sz w:val="24"/>
              </w:rPr>
            </w:pPr>
            <w:r>
              <w:rPr>
                <w:rFonts w:ascii="宋体" w:hAnsi="宋体" w:cs="宋体"/>
                <w:sz w:val="24"/>
              </w:rPr>
              <w:t>100%</w:t>
            </w:r>
          </w:p>
        </w:tc>
      </w:tr>
    </w:tbl>
    <w:p w:rsidR="00EB38B8" w:rsidRDefault="00EB38B8"/>
    <w:p w:rsidR="00EB38B8" w:rsidRDefault="00EB38B8"/>
    <w:p w:rsidR="00EB38B8" w:rsidRDefault="00EB38B8">
      <w:pPr>
        <w:rPr>
          <w:sz w:val="32"/>
          <w:szCs w:val="32"/>
        </w:rPr>
      </w:pPr>
    </w:p>
    <w:p w:rsidR="00EB38B8" w:rsidRDefault="00EB38B8">
      <w:pPr>
        <w:rPr>
          <w:b/>
          <w:bCs/>
        </w:rPr>
      </w:pPr>
      <w:r>
        <w:rPr>
          <w:rFonts w:hint="eastAsia"/>
          <w:b/>
          <w:bCs/>
        </w:rPr>
        <w:t>附表</w:t>
      </w:r>
      <w:r>
        <w:rPr>
          <w:b/>
          <w:bCs/>
        </w:rPr>
        <w:t>2</w:t>
      </w:r>
    </w:p>
    <w:p w:rsidR="00EB38B8" w:rsidRDefault="00EB38B8">
      <w:pPr>
        <w:jc w:val="center"/>
        <w:rPr>
          <w:rFonts w:ascii="黑体" w:eastAsia="黑体" w:hAnsi="黑体" w:cs="黑体"/>
          <w:sz w:val="28"/>
          <w:szCs w:val="28"/>
        </w:rPr>
      </w:pPr>
      <w:r>
        <w:rPr>
          <w:rFonts w:ascii="黑体" w:eastAsia="黑体" w:hAnsi="黑体" w:cs="黑体" w:hint="eastAsia"/>
          <w:sz w:val="28"/>
          <w:szCs w:val="28"/>
        </w:rPr>
        <w:t>西平县城市区域</w:t>
      </w:r>
      <w:r>
        <w:rPr>
          <w:rFonts w:ascii="黑体" w:eastAsia="黑体" w:hAnsi="黑体" w:cs="黑体"/>
          <w:sz w:val="28"/>
          <w:szCs w:val="28"/>
        </w:rPr>
        <w:t>4</w:t>
      </w:r>
      <w:r>
        <w:rPr>
          <w:rFonts w:ascii="黑体" w:eastAsia="黑体" w:hAnsi="黑体" w:cs="黑体" w:hint="eastAsia"/>
          <w:sz w:val="28"/>
          <w:szCs w:val="28"/>
        </w:rPr>
        <w:t>类声环境功能区划分一览表</w:t>
      </w:r>
    </w:p>
    <w:tbl>
      <w:tblPr>
        <w:tblW w:w="8522" w:type="dxa"/>
        <w:tblLayout w:type="fixed"/>
        <w:tblLook w:val="00A0"/>
      </w:tblPr>
      <w:tblGrid>
        <w:gridCol w:w="621"/>
        <w:gridCol w:w="1080"/>
        <w:gridCol w:w="675"/>
        <w:gridCol w:w="1185"/>
        <w:gridCol w:w="1500"/>
        <w:gridCol w:w="1425"/>
        <w:gridCol w:w="718"/>
        <w:gridCol w:w="1318"/>
      </w:tblGrid>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hint="eastAsia"/>
                <w:color w:val="000000"/>
                <w:kern w:val="0"/>
                <w:sz w:val="24"/>
                <w:lang/>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hint="eastAsia"/>
                <w:color w:val="000000"/>
                <w:kern w:val="0"/>
                <w:sz w:val="24"/>
                <w:lang/>
              </w:rPr>
              <w:t>走向</w:t>
            </w:r>
          </w:p>
        </w:tc>
        <w:tc>
          <w:tcPr>
            <w:tcW w:w="67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hint="eastAsia"/>
                <w:color w:val="000000"/>
                <w:kern w:val="0"/>
                <w:sz w:val="24"/>
                <w:lang/>
              </w:rPr>
              <w:t>类别</w:t>
            </w: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道路名称</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kern w:val="0"/>
                <w:sz w:val="24"/>
                <w:lang/>
              </w:rPr>
              <w:t>起点</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终点</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红线宽度</w:t>
            </w:r>
          </w:p>
        </w:tc>
        <w:tc>
          <w:tcPr>
            <w:tcW w:w="13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sidRPr="0061159B">
              <w:rPr>
                <w:rFonts w:ascii="宋体" w:hAnsi="宋体" w:cs="宋体" w:hint="eastAsia"/>
                <w:color w:val="000000"/>
                <w:kern w:val="0"/>
                <w:sz w:val="24"/>
                <w:lang/>
              </w:rPr>
              <w:t>备注</w:t>
            </w: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hint="eastAsia"/>
                <w:color w:val="000000"/>
                <w:kern w:val="0"/>
                <w:sz w:val="24"/>
                <w:lang/>
              </w:rPr>
              <w:t>南北向</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b/>
                <w:bCs/>
                <w:color w:val="000000"/>
                <w:sz w:val="24"/>
              </w:rPr>
            </w:pP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b/>
                  <w:bCs/>
                  <w:color w:val="000000"/>
                  <w:kern w:val="0"/>
                  <w:sz w:val="24"/>
                  <w:lang/>
                </w:rPr>
                <w:t>4a</w:t>
              </w:r>
            </w:smartTag>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剑源大道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西平大道</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val="restart"/>
            <w:tcBorders>
              <w:top w:val="single" w:sz="4" w:space="0" w:color="000000"/>
              <w:left w:val="single" w:sz="4" w:space="0" w:color="000000"/>
              <w:right w:val="single" w:sz="4" w:space="0" w:color="000000"/>
            </w:tcBorders>
            <w:vAlign w:val="center"/>
          </w:tcPr>
          <w:p w:rsidR="00EB38B8" w:rsidRDefault="00EB38B8">
            <w:pPr>
              <w:rPr>
                <w:rFonts w:ascii="宋体" w:cs="宋体"/>
                <w:szCs w:val="21"/>
              </w:rPr>
            </w:pPr>
            <w:r>
              <w:rPr>
                <w:rFonts w:ascii="宋体" w:hAnsi="宋体" w:cs="宋体" w:hint="eastAsia"/>
                <w:szCs w:val="21"/>
              </w:rPr>
              <w:t>道路两侧各距红线垂直距离为：相邻</w:t>
            </w:r>
            <w:r>
              <w:rPr>
                <w:rFonts w:ascii="宋体" w:hAnsi="宋体" w:cs="宋体"/>
                <w:szCs w:val="21"/>
              </w:rPr>
              <w:t>1</w:t>
            </w:r>
            <w:r>
              <w:rPr>
                <w:rFonts w:ascii="宋体" w:hAnsi="宋体" w:cs="宋体" w:hint="eastAsia"/>
                <w:szCs w:val="21"/>
              </w:rPr>
              <w:t>类区域为</w:t>
            </w:r>
            <w:r>
              <w:rPr>
                <w:rFonts w:ascii="宋体" w:hAnsi="宋体" w:cs="宋体"/>
                <w:szCs w:val="21"/>
              </w:rPr>
              <w:t>50</w:t>
            </w:r>
            <w:r>
              <w:rPr>
                <w:rFonts w:ascii="宋体" w:hAnsi="宋体"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kern w:val="0"/>
                  <w:szCs w:val="21"/>
                </w:rPr>
                <w:t>5</w:t>
              </w:r>
              <w:r>
                <w:rPr>
                  <w:rFonts w:ascii="宋体" w:hAnsi="宋体" w:cs="宋体" w:hint="eastAsia"/>
                  <w:szCs w:val="21"/>
                </w:rPr>
                <w:t>米</w:t>
              </w:r>
            </w:smartTag>
            <w:r>
              <w:rPr>
                <w:rFonts w:ascii="宋体" w:hAnsi="宋体" w:cs="宋体" w:hint="eastAsia"/>
                <w:szCs w:val="21"/>
              </w:rPr>
              <w:t>，</w:t>
            </w:r>
            <w:r>
              <w:rPr>
                <w:rFonts w:ascii="宋体" w:hAnsi="宋体" w:cs="宋体"/>
                <w:szCs w:val="21"/>
              </w:rPr>
              <w:t>2</w:t>
            </w:r>
            <w:r>
              <w:rPr>
                <w:rFonts w:ascii="宋体" w:hAnsi="宋体" w:cs="宋体" w:hint="eastAsia"/>
                <w:szCs w:val="21"/>
              </w:rPr>
              <w:t>类区域为</w:t>
            </w:r>
            <w:r>
              <w:rPr>
                <w:rFonts w:ascii="宋体" w:hAnsi="宋体" w:cs="宋体"/>
                <w:szCs w:val="21"/>
              </w:rPr>
              <w:t>35</w:t>
            </w:r>
            <w:r>
              <w:rPr>
                <w:rFonts w:ascii="宋体" w:hAnsi="宋体"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kern w:val="0"/>
                  <w:szCs w:val="21"/>
                </w:rPr>
                <w:t>5</w:t>
              </w:r>
              <w:r>
                <w:rPr>
                  <w:rFonts w:ascii="宋体" w:hAnsi="宋体" w:cs="宋体" w:hint="eastAsia"/>
                  <w:szCs w:val="21"/>
                </w:rPr>
                <w:t>米</w:t>
              </w:r>
            </w:smartTag>
            <w:r>
              <w:rPr>
                <w:rFonts w:ascii="宋体" w:hAnsi="宋体" w:cs="宋体" w:hint="eastAsia"/>
                <w:szCs w:val="21"/>
              </w:rPr>
              <w:t>，</w:t>
            </w:r>
            <w:r>
              <w:rPr>
                <w:rFonts w:ascii="宋体" w:hAnsi="宋体" w:cs="宋体"/>
                <w:szCs w:val="21"/>
              </w:rPr>
              <w:t>3</w:t>
            </w:r>
            <w:r>
              <w:rPr>
                <w:rFonts w:ascii="宋体" w:hAnsi="宋体" w:cs="宋体" w:hint="eastAsia"/>
                <w:szCs w:val="21"/>
              </w:rPr>
              <w:t>类区域为</w:t>
            </w:r>
            <w:r>
              <w:rPr>
                <w:rFonts w:ascii="宋体" w:hAnsi="宋体" w:cs="宋体"/>
                <w:szCs w:val="21"/>
              </w:rPr>
              <w:t>20</w:t>
            </w:r>
            <w:r>
              <w:rPr>
                <w:rFonts w:ascii="宋体" w:hAnsi="宋体"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kern w:val="0"/>
                  <w:szCs w:val="21"/>
                </w:rPr>
                <w:t>5</w:t>
              </w:r>
              <w:r>
                <w:rPr>
                  <w:rFonts w:ascii="宋体" w:hAnsi="宋体" w:cs="宋体" w:hint="eastAsia"/>
                  <w:szCs w:val="21"/>
                </w:rPr>
                <w:t>米</w:t>
              </w:r>
            </w:smartTag>
          </w:p>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嫘祖大道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柳堰河路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60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3</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紫荆路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北环路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洪河</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36</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4</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凤鸣大道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棠溪大道</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60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5</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解放路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柳堰河路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48</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6</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护城河路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柳堰河路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7</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交通路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柳堰河路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8</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启航路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北过境公路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柳堰河路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60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9</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创业路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学苑路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工业大道</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30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豫坡大道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学苑路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工业大道</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hint="eastAsia"/>
                <w:color w:val="000000"/>
                <w:kern w:val="0"/>
                <w:sz w:val="24"/>
                <w:lang/>
              </w:rPr>
              <w:t>东西向</w:t>
            </w: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环城北路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剑源大道</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交通路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柏苑大道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剑源大道</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启航路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46</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13</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柏亭大道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剑源大道</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启航路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14</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西陵大道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剑源大道</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交通路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15</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未来大道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剑源大道</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启航路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16</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西平大道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剑源大道</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启航路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17</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柏城大道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sz w:val="24"/>
              </w:rPr>
            </w:pPr>
            <w:r w:rsidRPr="0061159B">
              <w:rPr>
                <w:rFonts w:ascii="宋体" w:hAnsi="宋体" w:cs="宋体" w:hint="eastAsia"/>
                <w:color w:val="000000"/>
                <w:sz w:val="24"/>
              </w:rPr>
              <w:t>交通路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sz w:val="24"/>
              </w:rPr>
            </w:pPr>
            <w:r w:rsidRPr="0061159B">
              <w:rPr>
                <w:rFonts w:ascii="宋体" w:hAnsi="宋体" w:cs="宋体" w:hint="eastAsia"/>
                <w:color w:val="000000"/>
                <w:sz w:val="24"/>
              </w:rPr>
              <w:t>洪河</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40</w:t>
            </w:r>
          </w:p>
        </w:tc>
        <w:tc>
          <w:tcPr>
            <w:tcW w:w="1318" w:type="dxa"/>
            <w:vMerge/>
            <w:tcBorders>
              <w:left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18</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龙泉大道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sz w:val="24"/>
              </w:rPr>
            </w:pPr>
            <w:r w:rsidRPr="0061159B">
              <w:rPr>
                <w:rFonts w:ascii="宋体" w:hAnsi="宋体" w:cs="宋体" w:hint="eastAsia"/>
                <w:color w:val="000000"/>
                <w:sz w:val="24"/>
              </w:rPr>
              <w:t>交通路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sz w:val="24"/>
              </w:rPr>
            </w:pPr>
            <w:r w:rsidRPr="0061159B">
              <w:rPr>
                <w:rFonts w:ascii="宋体" w:hAnsi="宋体" w:cs="宋体" w:hint="eastAsia"/>
                <w:color w:val="000000"/>
                <w:sz w:val="24"/>
              </w:rPr>
              <w:t>棠溪大道</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40</w:t>
            </w:r>
          </w:p>
        </w:tc>
        <w:tc>
          <w:tcPr>
            <w:tcW w:w="1318" w:type="dxa"/>
            <w:vMerge/>
            <w:tcBorders>
              <w:left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19</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中原大道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sz w:val="24"/>
              </w:rPr>
            </w:pPr>
            <w:r w:rsidRPr="0061159B">
              <w:rPr>
                <w:rFonts w:ascii="宋体" w:hAnsi="宋体" w:cs="宋体" w:hint="eastAsia"/>
                <w:color w:val="000000"/>
                <w:sz w:val="24"/>
              </w:rPr>
              <w:t>交通路</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sz w:val="24"/>
              </w:rPr>
            </w:pPr>
            <w:r w:rsidRPr="0061159B">
              <w:rPr>
                <w:rFonts w:ascii="宋体" w:hAnsi="宋体" w:cs="宋体" w:hint="eastAsia"/>
                <w:color w:val="000000"/>
                <w:sz w:val="24"/>
              </w:rPr>
              <w:t>解放路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44</w:t>
            </w:r>
          </w:p>
        </w:tc>
        <w:tc>
          <w:tcPr>
            <w:tcW w:w="1318" w:type="dxa"/>
            <w:vMerge/>
            <w:tcBorders>
              <w:left w:val="single" w:sz="4" w:space="0" w:color="000000"/>
              <w:right w:val="single" w:sz="4" w:space="0" w:color="000000"/>
            </w:tcBorders>
            <w:vAlign w:val="center"/>
          </w:tcPr>
          <w:p w:rsidR="00EB38B8" w:rsidRPr="0061159B"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20</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棠溪大道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西边界</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交通路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55</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21</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柏国大道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西边界</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豫坡路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60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工业大道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西边界</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豫坡路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38</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23</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金凤大道</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西边界</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创业路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40</w:t>
            </w:r>
          </w:p>
        </w:tc>
        <w:tc>
          <w:tcPr>
            <w:tcW w:w="1318" w:type="dxa"/>
            <w:vMerge/>
            <w:tcBorders>
              <w:left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24</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b/>
                <w:bCs/>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柳堰河路</w:t>
            </w:r>
          </w:p>
        </w:tc>
        <w:tc>
          <w:tcPr>
            <w:tcW w:w="1500"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西边界</w:t>
            </w:r>
          </w:p>
        </w:tc>
        <w:tc>
          <w:tcPr>
            <w:tcW w:w="142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sidRPr="0061159B">
              <w:rPr>
                <w:rFonts w:ascii="宋体" w:hAnsi="宋体" w:cs="宋体" w:hint="eastAsia"/>
                <w:color w:val="000000"/>
                <w:sz w:val="24"/>
              </w:rPr>
              <w:t>启航路</w:t>
            </w:r>
          </w:p>
        </w:tc>
        <w:tc>
          <w:tcPr>
            <w:tcW w:w="718"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color w:val="000000"/>
                <w:kern w:val="0"/>
                <w:sz w:val="24"/>
                <w:lang/>
              </w:rPr>
              <w:t>33</w:t>
            </w:r>
          </w:p>
        </w:tc>
        <w:tc>
          <w:tcPr>
            <w:tcW w:w="1318" w:type="dxa"/>
            <w:vMerge/>
            <w:tcBorders>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p>
        </w:tc>
      </w:tr>
      <w:tr w:rsidR="00EB38B8" w:rsidRPr="0061159B">
        <w:trPr>
          <w:trHeight w:val="285"/>
        </w:trPr>
        <w:tc>
          <w:tcPr>
            <w:tcW w:w="621"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sz w:val="24"/>
              </w:rPr>
            </w:pPr>
            <w:r>
              <w:rPr>
                <w:rFonts w:ascii="宋体" w:hAnsi="宋体" w:cs="宋体"/>
                <w:color w:val="000000"/>
                <w:kern w:val="0"/>
                <w:sz w:val="24"/>
                <w:lang/>
              </w:rPr>
              <w:t>25</w:t>
            </w:r>
          </w:p>
        </w:tc>
        <w:tc>
          <w:tcPr>
            <w:tcW w:w="1080" w:type="dxa"/>
            <w:tcBorders>
              <w:top w:val="single" w:sz="4" w:space="0" w:color="000000"/>
              <w:left w:val="single" w:sz="4" w:space="0" w:color="000000"/>
              <w:bottom w:val="single" w:sz="4" w:space="0" w:color="000000"/>
              <w:right w:val="single" w:sz="4" w:space="0" w:color="000000"/>
            </w:tcBorders>
            <w:vAlign w:val="center"/>
          </w:tcPr>
          <w:p w:rsidR="00EB38B8" w:rsidRDefault="00EB38B8">
            <w:pPr>
              <w:jc w:val="center"/>
              <w:rPr>
                <w:rFonts w:asci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b/>
                <w:bCs/>
                <w:color w:val="000000"/>
                <w:sz w:val="24"/>
              </w:rPr>
            </w:pPr>
            <w:r>
              <w:rPr>
                <w:rFonts w:ascii="宋体" w:hAnsi="宋体" w:cs="宋体"/>
                <w:b/>
                <w:bCs/>
                <w:color w:val="000000"/>
                <w:kern w:val="0"/>
                <w:sz w:val="24"/>
                <w:lang/>
              </w:rPr>
              <w:t>4b</w:t>
            </w:r>
          </w:p>
        </w:tc>
        <w:tc>
          <w:tcPr>
            <w:tcW w:w="1185" w:type="dxa"/>
            <w:tcBorders>
              <w:top w:val="single" w:sz="4" w:space="0" w:color="000000"/>
              <w:left w:val="single" w:sz="4" w:space="0" w:color="000000"/>
              <w:bottom w:val="single" w:sz="4" w:space="0" w:color="000000"/>
              <w:right w:val="single" w:sz="4" w:space="0" w:color="000000"/>
            </w:tcBorders>
            <w:vAlign w:val="center"/>
          </w:tcPr>
          <w:p w:rsidR="00EB38B8" w:rsidRDefault="00EB38B8">
            <w:pPr>
              <w:widowControl/>
              <w:jc w:val="center"/>
              <w:textAlignment w:val="center"/>
              <w:rPr>
                <w:rFonts w:ascii="宋体" w:cs="宋体"/>
                <w:color w:val="000000"/>
                <w:kern w:val="0"/>
                <w:sz w:val="24"/>
                <w:lang/>
              </w:rPr>
            </w:pPr>
            <w:r>
              <w:rPr>
                <w:rFonts w:ascii="宋体" w:hAnsi="宋体" w:cs="宋体" w:hint="eastAsia"/>
                <w:color w:val="000000"/>
                <w:kern w:val="0"/>
                <w:sz w:val="24"/>
                <w:lang/>
              </w:rPr>
              <w:t>铁路</w:t>
            </w:r>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rsidR="00EB38B8" w:rsidRDefault="00EB38B8">
            <w:pPr>
              <w:rPr>
                <w:rFonts w:ascii="宋体" w:cs="宋体"/>
                <w:color w:val="000000"/>
                <w:kern w:val="0"/>
                <w:sz w:val="24"/>
                <w:lang/>
              </w:rPr>
            </w:pPr>
            <w:r>
              <w:rPr>
                <w:rFonts w:ascii="宋体" w:hAnsi="宋体" w:cs="宋体" w:hint="eastAsia"/>
                <w:szCs w:val="21"/>
              </w:rPr>
              <w:t>铁路两侧各距红线垂直距离为：相邻</w:t>
            </w:r>
            <w:r>
              <w:rPr>
                <w:rFonts w:ascii="宋体" w:hAnsi="宋体" w:cs="宋体"/>
                <w:szCs w:val="21"/>
              </w:rPr>
              <w:t>1</w:t>
            </w:r>
            <w:r>
              <w:rPr>
                <w:rFonts w:ascii="宋体" w:hAnsi="宋体" w:cs="宋体" w:hint="eastAsia"/>
                <w:szCs w:val="21"/>
              </w:rPr>
              <w:t>类区域为</w:t>
            </w:r>
            <w:r>
              <w:rPr>
                <w:rFonts w:ascii="宋体" w:hAnsi="宋体" w:cs="宋体"/>
                <w:szCs w:val="21"/>
              </w:rPr>
              <w:t>50</w:t>
            </w:r>
            <w:r>
              <w:rPr>
                <w:rFonts w:ascii="宋体" w:hAnsi="宋体"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kern w:val="0"/>
                  <w:szCs w:val="21"/>
                </w:rPr>
                <w:t>5</w:t>
              </w:r>
              <w:r>
                <w:rPr>
                  <w:rFonts w:ascii="宋体" w:hAnsi="宋体" w:cs="宋体" w:hint="eastAsia"/>
                  <w:szCs w:val="21"/>
                </w:rPr>
                <w:t>米</w:t>
              </w:r>
            </w:smartTag>
            <w:r>
              <w:rPr>
                <w:rFonts w:ascii="宋体" w:hAnsi="宋体" w:cs="宋体" w:hint="eastAsia"/>
                <w:szCs w:val="21"/>
              </w:rPr>
              <w:t>，</w:t>
            </w:r>
            <w:r>
              <w:rPr>
                <w:rFonts w:ascii="宋体" w:hAnsi="宋体" w:cs="宋体"/>
                <w:szCs w:val="21"/>
              </w:rPr>
              <w:t>2</w:t>
            </w:r>
            <w:r>
              <w:rPr>
                <w:rFonts w:ascii="宋体" w:hAnsi="宋体" w:cs="宋体" w:hint="eastAsia"/>
                <w:szCs w:val="21"/>
              </w:rPr>
              <w:t>类区域为</w:t>
            </w:r>
            <w:r>
              <w:rPr>
                <w:rFonts w:ascii="宋体" w:hAnsi="宋体" w:cs="宋体"/>
                <w:szCs w:val="21"/>
              </w:rPr>
              <w:t>35</w:t>
            </w:r>
            <w:r>
              <w:rPr>
                <w:rFonts w:ascii="宋体" w:hAnsi="宋体"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kern w:val="0"/>
                  <w:szCs w:val="21"/>
                </w:rPr>
                <w:t>5</w:t>
              </w:r>
              <w:r>
                <w:rPr>
                  <w:rFonts w:ascii="宋体" w:hAnsi="宋体" w:cs="宋体" w:hint="eastAsia"/>
                  <w:szCs w:val="21"/>
                </w:rPr>
                <w:t>米</w:t>
              </w:r>
            </w:smartTag>
            <w:r>
              <w:rPr>
                <w:rFonts w:ascii="宋体" w:hAnsi="宋体" w:cs="宋体" w:hint="eastAsia"/>
                <w:szCs w:val="21"/>
              </w:rPr>
              <w:t>，</w:t>
            </w:r>
            <w:r>
              <w:rPr>
                <w:rFonts w:ascii="宋体" w:hAnsi="宋体" w:cs="宋体"/>
                <w:szCs w:val="21"/>
              </w:rPr>
              <w:t>3</w:t>
            </w:r>
            <w:r>
              <w:rPr>
                <w:rFonts w:ascii="宋体" w:hAnsi="宋体" w:cs="宋体" w:hint="eastAsia"/>
                <w:szCs w:val="21"/>
              </w:rPr>
              <w:t>类区域为</w:t>
            </w:r>
            <w:r>
              <w:rPr>
                <w:rFonts w:ascii="宋体" w:hAnsi="宋体" w:cs="宋体"/>
                <w:szCs w:val="21"/>
              </w:rPr>
              <w:t>20</w:t>
            </w:r>
            <w:r>
              <w:rPr>
                <w:rFonts w:ascii="宋体" w:hAnsi="宋体"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cs="宋体"/>
                  <w:kern w:val="0"/>
                  <w:szCs w:val="21"/>
                </w:rPr>
                <w:t>5</w:t>
              </w:r>
              <w:r>
                <w:rPr>
                  <w:rFonts w:ascii="宋体" w:hAnsi="宋体" w:cs="宋体" w:hint="eastAsia"/>
                  <w:szCs w:val="21"/>
                </w:rPr>
                <w:t>米</w:t>
              </w:r>
            </w:smartTag>
          </w:p>
        </w:tc>
      </w:tr>
    </w:tbl>
    <w:p w:rsidR="00EB38B8" w:rsidRDefault="00EB38B8">
      <w:pPr>
        <w:sectPr w:rsidR="00EB38B8">
          <w:pgSz w:w="11906" w:h="16838"/>
          <w:pgMar w:top="1440" w:right="1800" w:bottom="1440" w:left="1800" w:header="851" w:footer="992" w:gutter="0"/>
          <w:cols w:space="720"/>
          <w:docGrid w:type="lines" w:linePitch="312"/>
        </w:sectPr>
      </w:pPr>
    </w:p>
    <w:p w:rsidR="00EB38B8" w:rsidRDefault="00EB38B8">
      <w:pPr>
        <w:pStyle w:val="Heading1"/>
        <w:numPr>
          <w:ilvl w:val="0"/>
          <w:numId w:val="0"/>
        </w:numPr>
        <w:jc w:val="both"/>
        <w:sectPr w:rsidR="00EB38B8">
          <w:pgSz w:w="16838" w:h="11906" w:orient="landscape"/>
          <w:pgMar w:top="1800" w:right="1440" w:bottom="1800" w:left="1440" w:header="851" w:footer="992" w:gutter="0"/>
          <w:cols w:space="720"/>
          <w:docGrid w:type="lines" w:linePitch="312"/>
        </w:sectPr>
      </w:pPr>
      <w:r w:rsidRPr="0061159B">
        <w:rPr>
          <w:rFonts w:hAnsi="宋体"/>
          <w:noProof/>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21.75pt;height:423pt;visibility:visible">
            <v:imagedata r:id="rId5" o:title=""/>
          </v:shape>
        </w:pict>
      </w:r>
    </w:p>
    <w:p w:rsidR="00EB38B8" w:rsidRDefault="00EB38B8">
      <w:pPr>
        <w:pStyle w:val="Heading1"/>
        <w:pageBreakBefore/>
        <w:numPr>
          <w:ilvl w:val="0"/>
          <w:numId w:val="0"/>
        </w:numPr>
        <w:jc w:val="both"/>
      </w:pPr>
      <w:bookmarkStart w:id="6" w:name="_Toc58615713"/>
      <w:r>
        <w:rPr>
          <w:rFonts w:eastAsia="黑体" w:hint="eastAsia"/>
          <w:b w:val="0"/>
          <w:bCs/>
          <w:szCs w:val="32"/>
        </w:rPr>
        <w:t>六、</w:t>
      </w:r>
      <w:r>
        <w:rPr>
          <w:rFonts w:hint="eastAsia"/>
        </w:rPr>
        <w:t>防治控制对策</w:t>
      </w:r>
    </w:p>
    <w:p w:rsidR="00EB38B8" w:rsidRDefault="00EB38B8">
      <w:pPr>
        <w:pStyle w:val="Heading2"/>
        <w:numPr>
          <w:ilvl w:val="1"/>
          <w:numId w:val="0"/>
        </w:numPr>
        <w:spacing w:before="0" w:after="0" w:line="520" w:lineRule="exact"/>
        <w:rPr>
          <w:rFonts w:eastAsia="宋体"/>
          <w:szCs w:val="28"/>
        </w:rPr>
      </w:pPr>
      <w:bookmarkStart w:id="7" w:name="_Toc16079"/>
      <w:r>
        <w:rPr>
          <w:rFonts w:eastAsia="宋体"/>
          <w:szCs w:val="28"/>
        </w:rPr>
        <w:t>6.1</w:t>
      </w:r>
      <w:r>
        <w:rPr>
          <w:rFonts w:ascii="方正小标宋简体" w:hAnsi="方正小标宋简体" w:cs="方正小标宋简体" w:hint="eastAsia"/>
          <w:b w:val="0"/>
          <w:bCs/>
          <w:szCs w:val="28"/>
        </w:rPr>
        <w:t>交通噪声综合防治</w:t>
      </w:r>
      <w:bookmarkEnd w:id="7"/>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kern w:val="0"/>
          <w:sz w:val="32"/>
          <w:szCs w:val="32"/>
        </w:rPr>
        <w:t>1</w:t>
      </w:r>
      <w:r>
        <w:rPr>
          <w:rFonts w:ascii="仿宋" w:eastAsia="仿宋" w:hAnsi="仿宋" w:cs="仿宋" w:hint="eastAsia"/>
          <w:kern w:val="0"/>
          <w:sz w:val="32"/>
          <w:szCs w:val="32"/>
        </w:rPr>
        <w:t>、加强道路交通管理，控制交通噪声</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1</w:t>
      </w:r>
      <w:r>
        <w:rPr>
          <w:rFonts w:ascii="华文仿宋" w:eastAsia="华文仿宋" w:hAnsi="华文仿宋" w:cs="华文仿宋" w:hint="eastAsia"/>
          <w:kern w:val="0"/>
          <w:sz w:val="32"/>
          <w:szCs w:val="32"/>
        </w:rPr>
        <w:t>）建全交通管理法规，机动车在城市区范围内行驶，需按照规定使用声响装置。警车、消防车、工程抢险车、救护车等机动车辆在执行非紧急任务时，禁止使用警报器。</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2</w:t>
      </w:r>
      <w:r>
        <w:rPr>
          <w:rFonts w:ascii="华文仿宋" w:eastAsia="华文仿宋" w:hAnsi="华文仿宋" w:cs="华文仿宋" w:hint="eastAsia"/>
          <w:kern w:val="0"/>
          <w:sz w:val="32"/>
          <w:szCs w:val="32"/>
        </w:rPr>
        <w:t>）交通监督管理部门应对现有的限速、禁鸣喇叭、人车分流路段加强管理，新增限速、禁鸣喇叭、人车分流路线，严格规定大型车、载重汽车和高噪声车辆的行驶时间和路线。严禁拖拉车、载客三轮摩托车进入中心城区。加强车辆年检工作，淘汰超期服役车辆。</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3</w:t>
      </w:r>
      <w:r>
        <w:rPr>
          <w:rFonts w:ascii="华文仿宋" w:eastAsia="华文仿宋" w:hAnsi="华文仿宋" w:cs="华文仿宋" w:hint="eastAsia"/>
          <w:kern w:val="0"/>
          <w:sz w:val="32"/>
          <w:szCs w:val="32"/>
        </w:rPr>
        <w:t>）在用机动车辆噪声排放，应当达到国家规定的在用机动车辆噪声限值。在用机动车辆消声器及其他防治噪声污染的设备必须保证正常、有效使用，禁止改装、拆除或闲置。除特种车辆外禁止安装外挂式音响设备。</w:t>
      </w:r>
    </w:p>
    <w:p w:rsidR="00EB38B8" w:rsidRDefault="00EB38B8" w:rsidP="00DA16D4">
      <w:pPr>
        <w:spacing w:line="520" w:lineRule="exact"/>
        <w:ind w:firstLineChars="200" w:firstLine="31680"/>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w:t>
      </w:r>
      <w:r>
        <w:rPr>
          <w:rFonts w:ascii="华文仿宋" w:eastAsia="华文仿宋" w:hAnsi="华文仿宋" w:cs="华文仿宋"/>
          <w:color w:val="000000"/>
          <w:kern w:val="0"/>
          <w:sz w:val="32"/>
          <w:szCs w:val="32"/>
        </w:rPr>
        <w:t>4</w:t>
      </w:r>
      <w:r>
        <w:rPr>
          <w:rFonts w:ascii="华文仿宋" w:eastAsia="华文仿宋" w:hAnsi="华文仿宋" w:cs="华文仿宋" w:hint="eastAsia"/>
          <w:color w:val="000000"/>
          <w:kern w:val="0"/>
          <w:sz w:val="32"/>
          <w:szCs w:val="32"/>
        </w:rPr>
        <w:t>）交通部门应根据城市区域声环境管控的需要，禁止机动车辆行驶和禁止其使用声响装置的路段和时间，并向社会公告。</w:t>
      </w:r>
    </w:p>
    <w:p w:rsidR="00EB38B8" w:rsidRDefault="00EB38B8" w:rsidP="00DA16D4">
      <w:pPr>
        <w:spacing w:line="520" w:lineRule="exact"/>
        <w:ind w:firstLineChars="200" w:firstLine="31680"/>
        <w:rPr>
          <w:rFonts w:ascii="仿宋" w:eastAsia="仿宋" w:hAnsi="仿宋" w:cs="仿宋"/>
          <w:kern w:val="0"/>
          <w:sz w:val="32"/>
          <w:szCs w:val="32"/>
        </w:rPr>
      </w:pPr>
      <w:r>
        <w:rPr>
          <w:rFonts w:ascii="仿宋" w:eastAsia="仿宋" w:hAnsi="仿宋" w:cs="仿宋" w:hint="eastAsia"/>
          <w:color w:val="000000"/>
          <w:kern w:val="0"/>
          <w:sz w:val="32"/>
          <w:szCs w:val="32"/>
        </w:rPr>
        <w:t>道路监管部门应根据城市区域声环境管控的需要，规定禁止机动车辆超速行驶路段。建议</w:t>
      </w:r>
      <w:r>
        <w:rPr>
          <w:rFonts w:ascii="仿宋" w:eastAsia="仿宋" w:hAnsi="仿宋" w:cs="仿宋" w:hint="eastAsia"/>
          <w:sz w:val="32"/>
          <w:szCs w:val="32"/>
        </w:rPr>
        <w:t>嫘祖大道、棠溪大道、解放路、西平大道、柏国大道、交通路</w:t>
      </w:r>
      <w:r>
        <w:rPr>
          <w:rFonts w:ascii="仿宋" w:eastAsia="仿宋" w:hAnsi="仿宋" w:cs="仿宋" w:hint="eastAsia"/>
          <w:color w:val="000000"/>
          <w:kern w:val="0"/>
          <w:sz w:val="32"/>
          <w:szCs w:val="32"/>
        </w:rPr>
        <w:t>在居民区附近应设置相应禁鸣路段。建议</w:t>
      </w:r>
      <w:r>
        <w:rPr>
          <w:rFonts w:ascii="仿宋" w:eastAsia="仿宋" w:hAnsi="仿宋" w:cs="仿宋" w:hint="eastAsia"/>
          <w:sz w:val="32"/>
          <w:szCs w:val="32"/>
        </w:rPr>
        <w:t>解放路、柏国大道、交通路、嫘祖大道这些路段</w:t>
      </w:r>
      <w:r>
        <w:rPr>
          <w:rFonts w:ascii="仿宋" w:eastAsia="仿宋" w:hAnsi="仿宋" w:cs="仿宋" w:hint="eastAsia"/>
          <w:kern w:val="0"/>
          <w:sz w:val="32"/>
          <w:szCs w:val="32"/>
        </w:rPr>
        <w:t>，严格限定通过速度。</w:t>
      </w:r>
    </w:p>
    <w:p w:rsidR="00EB38B8" w:rsidRDefault="00EB38B8" w:rsidP="00DA16D4">
      <w:pPr>
        <w:spacing w:line="520" w:lineRule="exact"/>
        <w:ind w:firstLineChars="200" w:firstLine="31680"/>
        <w:rPr>
          <w:rFonts w:ascii="仿宋" w:eastAsia="仿宋" w:hAnsi="仿宋" w:cs="仿宋"/>
          <w:kern w:val="0"/>
          <w:sz w:val="32"/>
          <w:szCs w:val="32"/>
        </w:rPr>
      </w:pPr>
      <w:r>
        <w:rPr>
          <w:rFonts w:ascii="华文仿宋" w:eastAsia="华文仿宋" w:hAnsi="华文仿宋" w:cs="华文仿宋" w:hint="eastAsia"/>
          <w:kern w:val="0"/>
          <w:sz w:val="32"/>
          <w:szCs w:val="32"/>
        </w:rPr>
        <w:t>对于个别车流量偏大导致的噪声超标的路段，建议在县区实行全天限单双号或限尾号通行的措施，以减少车流量为主体的路段噪声。</w:t>
      </w:r>
    </w:p>
    <w:p w:rsidR="00EB38B8" w:rsidRDefault="00EB38B8" w:rsidP="00DA16D4">
      <w:pPr>
        <w:widowControl/>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、合理安排道路建设</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1</w:t>
      </w:r>
      <w:r>
        <w:rPr>
          <w:rFonts w:ascii="华文仿宋" w:eastAsia="华文仿宋" w:hAnsi="华文仿宋" w:cs="华文仿宋" w:hint="eastAsia"/>
          <w:kern w:val="0"/>
          <w:sz w:val="32"/>
          <w:szCs w:val="32"/>
        </w:rPr>
        <w:t>）使用降噪路面、合理安排绿化带。</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2</w:t>
      </w:r>
      <w:r>
        <w:rPr>
          <w:rFonts w:ascii="华文仿宋" w:eastAsia="华文仿宋" w:hAnsi="华文仿宋" w:cs="华文仿宋" w:hint="eastAsia"/>
          <w:kern w:val="0"/>
          <w:sz w:val="32"/>
          <w:szCs w:val="32"/>
        </w:rPr>
        <w:t>）设置机动车停车场、候车站的，应当合理选择位置或采取有效措施，减少噪声对周围环境的影响。</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3</w:t>
      </w:r>
      <w:r>
        <w:rPr>
          <w:rFonts w:ascii="华文仿宋" w:eastAsia="华文仿宋" w:hAnsi="华文仿宋" w:cs="华文仿宋" w:hint="eastAsia"/>
          <w:kern w:val="0"/>
          <w:sz w:val="32"/>
          <w:szCs w:val="32"/>
        </w:rPr>
        <w:t>）新建道路需要经过已有的噪声敏感建筑物集中区域时，设计单位或施工单位应将噪声污染防治措施、预算纳入初步设计以及施工方案中，在施工中采取有效的噪声污染防治措施。</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4</w:t>
      </w:r>
      <w:r>
        <w:rPr>
          <w:rFonts w:ascii="华文仿宋" w:eastAsia="华文仿宋" w:hAnsi="华文仿宋" w:cs="华文仿宋" w:hint="eastAsia"/>
          <w:kern w:val="0"/>
          <w:sz w:val="32"/>
          <w:szCs w:val="32"/>
        </w:rPr>
        <w:t>）对</w:t>
      </w:r>
      <w:r>
        <w:rPr>
          <w:rFonts w:ascii="华文仿宋" w:eastAsia="华文仿宋" w:hAnsi="华文仿宋" w:cs="华文仿宋" w:hint="eastAsia"/>
          <w:color w:val="000000"/>
          <w:sz w:val="32"/>
          <w:szCs w:val="32"/>
          <w:shd w:val="clear" w:color="auto" w:fill="FFFFFF"/>
        </w:rPr>
        <w:t>已有道路交叉口实施优化改造工程：人车分离，优化通行方式，提高通行效率，疏导路口通行拥堵，</w:t>
      </w:r>
      <w:r>
        <w:rPr>
          <w:rFonts w:ascii="华文仿宋" w:eastAsia="华文仿宋" w:hAnsi="华文仿宋" w:cs="华文仿宋" w:hint="eastAsia"/>
          <w:kern w:val="0"/>
          <w:sz w:val="32"/>
          <w:szCs w:val="32"/>
        </w:rPr>
        <w:t>以减轻交通噪声对周围噪声敏感建筑物的影响。</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5</w:t>
      </w:r>
      <w:r>
        <w:rPr>
          <w:rFonts w:ascii="华文仿宋" w:eastAsia="华文仿宋" w:hAnsi="华文仿宋" w:cs="华文仿宋" w:hint="eastAsia"/>
          <w:kern w:val="0"/>
          <w:sz w:val="32"/>
          <w:szCs w:val="32"/>
        </w:rPr>
        <w:t>）铁路机车在建成区行驶时，应当按照国家有关规定限制鸣笛或者禁止鸣笛。</w:t>
      </w:r>
    </w:p>
    <w:p w:rsidR="00EB38B8" w:rsidRDefault="00EB38B8" w:rsidP="00DA16D4">
      <w:pPr>
        <w:widowControl/>
        <w:adjustRightInd w:val="0"/>
        <w:snapToGrid w:val="0"/>
        <w:spacing w:line="520" w:lineRule="exact"/>
        <w:ind w:firstLineChars="200" w:firstLine="3168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w:t>
      </w:r>
      <w:r>
        <w:rPr>
          <w:rFonts w:ascii="华文仿宋" w:eastAsia="华文仿宋" w:hAnsi="华文仿宋" w:cs="华文仿宋"/>
          <w:kern w:val="0"/>
          <w:sz w:val="32"/>
          <w:szCs w:val="32"/>
        </w:rPr>
        <w:t>6</w:t>
      </w:r>
      <w:r>
        <w:rPr>
          <w:rFonts w:ascii="华文仿宋" w:eastAsia="华文仿宋" w:hAnsi="华文仿宋" w:cs="华文仿宋" w:hint="eastAsia"/>
          <w:kern w:val="0"/>
          <w:sz w:val="32"/>
          <w:szCs w:val="32"/>
        </w:rPr>
        <w:t>）大力发展公共交通事业，公交车辆、城市出租车应采用纯电动环保车型。</w:t>
      </w:r>
    </w:p>
    <w:p w:rsidR="00EB38B8" w:rsidRDefault="00EB38B8">
      <w:pPr>
        <w:pStyle w:val="Heading2"/>
        <w:numPr>
          <w:ilvl w:val="1"/>
          <w:numId w:val="0"/>
        </w:numPr>
        <w:spacing w:before="0" w:after="0" w:line="520" w:lineRule="exact"/>
        <w:rPr>
          <w:rFonts w:eastAsia="宋体"/>
          <w:szCs w:val="28"/>
        </w:rPr>
      </w:pPr>
      <w:bookmarkStart w:id="8" w:name="_Toc19093"/>
      <w:r>
        <w:rPr>
          <w:rFonts w:eastAsia="宋体"/>
          <w:szCs w:val="28"/>
        </w:rPr>
        <w:t>6.2</w:t>
      </w:r>
      <w:r>
        <w:rPr>
          <w:rFonts w:ascii="方正小标宋简体" w:hAnsi="方正小标宋简体" w:cs="方正小标宋简体" w:hint="eastAsia"/>
          <w:b w:val="0"/>
          <w:bCs/>
          <w:szCs w:val="28"/>
        </w:rPr>
        <w:t>工业噪声综合防治</w:t>
      </w:r>
      <w:bookmarkEnd w:id="8"/>
    </w:p>
    <w:p w:rsidR="00EB38B8" w:rsidRDefault="00EB38B8" w:rsidP="00DA16D4">
      <w:pPr>
        <w:widowControl/>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、合理调整中心城区工业布局</w:t>
      </w:r>
    </w:p>
    <w:p w:rsidR="00EB38B8" w:rsidRDefault="00EB38B8" w:rsidP="00DA16D4">
      <w:pPr>
        <w:spacing w:line="520" w:lineRule="exact"/>
        <w:ind w:firstLineChars="200" w:firstLine="31680"/>
        <w:rPr>
          <w:rFonts w:ascii="仿宋" w:eastAsia="仿宋" w:hAnsi="仿宋" w:cs="仿宋"/>
          <w:kern w:val="0"/>
          <w:sz w:val="32"/>
          <w:szCs w:val="32"/>
        </w:rPr>
      </w:pPr>
      <w:r>
        <w:rPr>
          <w:rFonts w:ascii="仿宋" w:eastAsia="仿宋" w:hAnsi="仿宋" w:cs="仿宋" w:hint="eastAsia"/>
          <w:color w:val="000000"/>
          <w:kern w:val="0"/>
          <w:sz w:val="32"/>
          <w:szCs w:val="32"/>
        </w:rPr>
        <w:t>建设项目审批时，应禁止在</w:t>
      </w:r>
      <w:r>
        <w:rPr>
          <w:rFonts w:ascii="仿宋" w:eastAsia="仿宋" w:hAnsi="仿宋" w:cs="仿宋"/>
          <w:color w:val="000000"/>
          <w:kern w:val="0"/>
          <w:sz w:val="32"/>
          <w:szCs w:val="32"/>
        </w:rPr>
        <w:t xml:space="preserve"> 1</w:t>
      </w:r>
      <w:r>
        <w:rPr>
          <w:rFonts w:ascii="仿宋" w:eastAsia="仿宋" w:hAnsi="仿宋" w:cs="仿宋" w:hint="eastAsia"/>
          <w:color w:val="000000"/>
          <w:kern w:val="0"/>
          <w:sz w:val="32"/>
          <w:szCs w:val="32"/>
        </w:rPr>
        <w:t>类区、严格限制在</w:t>
      </w:r>
      <w:r>
        <w:rPr>
          <w:rFonts w:ascii="仿宋" w:eastAsia="仿宋" w:hAnsi="仿宋" w:cs="仿宋"/>
          <w:color w:val="000000"/>
          <w:kern w:val="0"/>
          <w:sz w:val="32"/>
          <w:szCs w:val="32"/>
        </w:rPr>
        <w:t xml:space="preserve"> 2</w:t>
      </w:r>
      <w:r>
        <w:rPr>
          <w:rFonts w:ascii="仿宋" w:eastAsia="仿宋" w:hAnsi="仿宋" w:cs="仿宋" w:hint="eastAsia"/>
          <w:color w:val="000000"/>
          <w:kern w:val="0"/>
          <w:sz w:val="32"/>
          <w:szCs w:val="32"/>
        </w:rPr>
        <w:t>类区建设产生噪声污染的工业项目。</w:t>
      </w:r>
      <w:r>
        <w:rPr>
          <w:rFonts w:ascii="仿宋" w:eastAsia="仿宋" w:hAnsi="仿宋" w:cs="仿宋" w:hint="eastAsia"/>
          <w:kern w:val="0"/>
          <w:sz w:val="32"/>
          <w:szCs w:val="32"/>
        </w:rPr>
        <w:t>对于现有城市建成区内的工业企业，严格工业噪声管理，加强厂界噪声监测，对不能稳定达标的企业，应限期治理，经治理后仍不能稳定达标的，责令其停产，转产或搬迁。</w:t>
      </w:r>
    </w:p>
    <w:p w:rsidR="00EB38B8" w:rsidRDefault="00EB38B8" w:rsidP="00DA16D4">
      <w:pPr>
        <w:widowControl/>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、强化工业噪声管理</w:t>
      </w:r>
    </w:p>
    <w:p w:rsidR="00EB38B8" w:rsidRDefault="00EB38B8" w:rsidP="00DA16D4">
      <w:pPr>
        <w:widowControl/>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对于工业区内的新建、改建、扩建有噪声影响的项目，要严格把好环评关、验收关，在环境影响评价中必须有可行的禁噪、降噪和减振措施。严禁在城市规划中的非工业区内新建、扩建可能产生工业噪声源的建设项目，以防止新的工业噪声源对该区域环境的污染。</w:t>
      </w:r>
    </w:p>
    <w:p w:rsidR="00EB38B8" w:rsidRDefault="00EB38B8" w:rsidP="00DA16D4">
      <w:pPr>
        <w:widowControl/>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、开展工业噪声源治理</w:t>
      </w:r>
    </w:p>
    <w:p w:rsidR="00EB38B8" w:rsidRDefault="00EB38B8" w:rsidP="00DA16D4">
      <w:pPr>
        <w:widowControl/>
        <w:adjustRightInd w:val="0"/>
        <w:snapToGrid w:val="0"/>
        <w:spacing w:line="520" w:lineRule="exact"/>
        <w:ind w:firstLineChars="200" w:firstLine="31680"/>
        <w:rPr>
          <w:rFonts w:ascii="仿宋" w:eastAsia="仿宋" w:hAnsi="仿宋" w:cs="仿宋"/>
          <w:sz w:val="32"/>
          <w:szCs w:val="32"/>
        </w:rPr>
      </w:pPr>
      <w:r>
        <w:rPr>
          <w:rFonts w:ascii="仿宋" w:eastAsia="仿宋" w:hAnsi="仿宋" w:cs="仿宋" w:hint="eastAsia"/>
          <w:kern w:val="0"/>
          <w:sz w:val="32"/>
          <w:szCs w:val="32"/>
        </w:rPr>
        <w:t>对于工业噪声源，应加强设备日常巡查及维护，采取减振、吸声、隔声、消声多种综合性的噪声污染防治措施，使其持续优于噪声标准要求。</w:t>
      </w:r>
    </w:p>
    <w:p w:rsidR="00EB38B8" w:rsidRDefault="00EB38B8">
      <w:pPr>
        <w:pStyle w:val="Heading2"/>
        <w:numPr>
          <w:ilvl w:val="1"/>
          <w:numId w:val="0"/>
        </w:numPr>
        <w:spacing w:before="0" w:after="0" w:line="520" w:lineRule="exact"/>
        <w:rPr>
          <w:rFonts w:eastAsia="宋体"/>
          <w:szCs w:val="28"/>
        </w:rPr>
      </w:pPr>
      <w:bookmarkStart w:id="9" w:name="_Toc5425"/>
      <w:r>
        <w:rPr>
          <w:rFonts w:eastAsia="宋体"/>
          <w:szCs w:val="28"/>
        </w:rPr>
        <w:t>6.3</w:t>
      </w:r>
      <w:r>
        <w:rPr>
          <w:rFonts w:ascii="方正小标宋简体" w:hAnsi="方正小标宋简体" w:cs="方正小标宋简体" w:hint="eastAsia"/>
          <w:b w:val="0"/>
          <w:bCs/>
          <w:szCs w:val="28"/>
        </w:rPr>
        <w:t>建筑施工噪声综合防治</w:t>
      </w:r>
      <w:bookmarkEnd w:id="9"/>
    </w:p>
    <w:p w:rsidR="00EB38B8" w:rsidRDefault="00EB38B8" w:rsidP="00DA16D4">
      <w:pPr>
        <w:spacing w:line="520" w:lineRule="exact"/>
        <w:ind w:firstLineChars="200" w:firstLine="31680"/>
        <w:rPr>
          <w:rFonts w:ascii="仿宋" w:eastAsia="仿宋" w:hAnsi="仿宋" w:cs="仿宋"/>
          <w:color w:val="000000"/>
          <w:kern w:val="0"/>
          <w:sz w:val="32"/>
          <w:szCs w:val="32"/>
        </w:rPr>
      </w:pPr>
      <w:r>
        <w:rPr>
          <w:rFonts w:ascii="仿宋" w:eastAsia="仿宋" w:hAnsi="仿宋" w:cs="仿宋" w:hint="eastAsia"/>
          <w:color w:val="000000"/>
          <w:kern w:val="0"/>
          <w:sz w:val="32"/>
          <w:szCs w:val="32"/>
        </w:rPr>
        <w:t>在城市区噪声敏感建筑物集中区域，除特殊情况，禁止夜间进行产生环境噪声污染的建筑施工作业，对施工噪声及企业工业噪声管理力度加大，严格控制点源噪声的排放时段，建设遮挡帷幕，最大程度地减少建筑施工噪声的影响。</w:t>
      </w:r>
    </w:p>
    <w:p w:rsidR="00EB38B8" w:rsidRDefault="00EB38B8" w:rsidP="00DA16D4">
      <w:pPr>
        <w:widowControl/>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施工现场应达到《建筑施工场界环境噪声排放标准》（</w:t>
      </w:r>
      <w:r>
        <w:rPr>
          <w:rFonts w:ascii="仿宋" w:eastAsia="仿宋" w:hAnsi="仿宋" w:cs="仿宋"/>
          <w:kern w:val="0"/>
          <w:sz w:val="32"/>
          <w:szCs w:val="32"/>
        </w:rPr>
        <w:t>GB12523-2011</w:t>
      </w:r>
      <w:r>
        <w:rPr>
          <w:rFonts w:ascii="仿宋" w:eastAsia="仿宋" w:hAnsi="仿宋" w:cs="仿宋" w:hint="eastAsia"/>
          <w:kern w:val="0"/>
          <w:sz w:val="32"/>
          <w:szCs w:val="32"/>
        </w:rPr>
        <w:t>）要求，制定防治施工噪声污染措施、管理制度。</w:t>
      </w:r>
      <w:r>
        <w:rPr>
          <w:rFonts w:ascii="仿宋" w:eastAsia="仿宋" w:hAnsi="仿宋" w:cs="仿宋"/>
          <w:kern w:val="0"/>
          <w:sz w:val="32"/>
          <w:szCs w:val="32"/>
        </w:rPr>
        <w:t xml:space="preserve">  </w:t>
      </w:r>
    </w:p>
    <w:p w:rsidR="00EB38B8" w:rsidRDefault="00EB38B8" w:rsidP="00DA16D4">
      <w:pPr>
        <w:widowControl/>
        <w:adjustRightInd w:val="0"/>
        <w:snapToGrid w:val="0"/>
        <w:spacing w:line="520" w:lineRule="exact"/>
        <w:ind w:firstLineChars="200" w:firstLine="31680"/>
        <w:rPr>
          <w:rFonts w:ascii="仿宋" w:eastAsia="仿宋" w:hAnsi="仿宋" w:cs="仿宋"/>
          <w:sz w:val="32"/>
          <w:szCs w:val="32"/>
        </w:rPr>
      </w:pPr>
      <w:r>
        <w:rPr>
          <w:rFonts w:ascii="仿宋" w:eastAsia="仿宋" w:hAnsi="仿宋" w:cs="仿宋" w:hint="eastAsia"/>
          <w:kern w:val="0"/>
          <w:sz w:val="32"/>
          <w:szCs w:val="32"/>
        </w:rPr>
        <w:t>中考、高考期间以及人民政府规定的特殊时期内，除抢修、抢险外，禁止在规定的时间内从事产生噪声污染的作业行为。</w:t>
      </w:r>
    </w:p>
    <w:p w:rsidR="00EB38B8" w:rsidRDefault="00EB38B8">
      <w:pPr>
        <w:pStyle w:val="Heading2"/>
        <w:numPr>
          <w:ilvl w:val="0"/>
          <w:numId w:val="0"/>
        </w:numPr>
        <w:tabs>
          <w:tab w:val="clear" w:pos="360"/>
        </w:tabs>
      </w:pPr>
      <w:bookmarkStart w:id="10" w:name="_Toc27141"/>
      <w:r>
        <w:t>6.4</w:t>
      </w:r>
      <w:r>
        <w:rPr>
          <w:rFonts w:hint="eastAsia"/>
          <w:b w:val="0"/>
          <w:bCs/>
        </w:rPr>
        <w:t>社会生活噪声防治</w:t>
      </w:r>
      <w:bookmarkStart w:id="11" w:name="7.4"/>
      <w:bookmarkEnd w:id="11"/>
      <w:r>
        <w:rPr>
          <w:rFonts w:hint="eastAsia"/>
          <w:b w:val="0"/>
          <w:bCs/>
        </w:rPr>
        <w:t>对策</w:t>
      </w:r>
      <w:bookmarkEnd w:id="10"/>
    </w:p>
    <w:p w:rsidR="00EB38B8" w:rsidRDefault="00EB38B8" w:rsidP="00DA16D4">
      <w:pPr>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、加强商业网点、娱乐场所的噪声源管理</w:t>
      </w:r>
    </w:p>
    <w:p w:rsidR="00EB38B8" w:rsidRDefault="00EB38B8" w:rsidP="00DA16D4">
      <w:pPr>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随着经济建设的发展，城市人口的不断增加，人民文化生活水平的提高，家用电器、音响设备的普及，音像器材商店等商业音响、</w:t>
      </w:r>
      <w:r>
        <w:rPr>
          <w:rFonts w:ascii="仿宋" w:eastAsia="仿宋" w:hAnsi="仿宋" w:cs="仿宋"/>
          <w:kern w:val="0"/>
          <w:sz w:val="32"/>
          <w:szCs w:val="32"/>
        </w:rPr>
        <w:t>KTV</w:t>
      </w:r>
      <w:r>
        <w:rPr>
          <w:rFonts w:ascii="仿宋" w:eastAsia="仿宋" w:hAnsi="仿宋" w:cs="仿宋" w:hint="eastAsia"/>
          <w:kern w:val="0"/>
          <w:sz w:val="32"/>
          <w:szCs w:val="32"/>
        </w:rPr>
        <w:t>、夜市等文化娱乐场所的大量增加，这将给城市带来越来越严重的社会生活噪声污染，需要公安、市场监管、生态环境、城市管理等部门联合执法。</w:t>
      </w:r>
    </w:p>
    <w:p w:rsidR="00EB38B8" w:rsidRDefault="00EB38B8" w:rsidP="00DA16D4">
      <w:pPr>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、关注居民生活区特定噪声污染</w:t>
      </w:r>
    </w:p>
    <w:p w:rsidR="00EB38B8" w:rsidRDefault="00EB38B8" w:rsidP="00DA16D4">
      <w:pPr>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在已竣工交付使用的居民住宅楼和邻近居民住宅楼的建筑进行装修活动，应当采取有效措施，减轻、避免对周围居民造成噪声污染，禁止在规定的时间内，从事产生噪声污染的装修和家具加工等活动。</w:t>
      </w:r>
    </w:p>
    <w:p w:rsidR="00EB38B8" w:rsidRDefault="00EB38B8" w:rsidP="00DA16D4">
      <w:pPr>
        <w:adjustRightInd w:val="0"/>
        <w:snapToGrid w:val="0"/>
        <w:spacing w:line="520" w:lineRule="exact"/>
        <w:ind w:firstLineChars="200" w:firstLine="3168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、加强绿化增加绿地</w:t>
      </w:r>
    </w:p>
    <w:p w:rsidR="00EB38B8" w:rsidRDefault="00EB38B8" w:rsidP="00DA16D4">
      <w:pPr>
        <w:adjustRightInd w:val="0"/>
        <w:snapToGri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加强绿化工作，扩大绿化面积，充分利用道路两旁、河流两岸，建筑物周围，公共娱乐场所等空隙地带，种植花草树木，既能美化环境、净化空气，又可达到防尘降噪的目的。建立噪声达标区，并制定管理规章。加大环境保护宣传力度，提高全民的环保意识，发动公众参与保护环境的监督管理工作。</w:t>
      </w:r>
    </w:p>
    <w:p w:rsidR="00EB38B8" w:rsidRDefault="00EB38B8">
      <w:pPr>
        <w:pStyle w:val="Heading2"/>
        <w:numPr>
          <w:ilvl w:val="0"/>
          <w:numId w:val="0"/>
        </w:numPr>
        <w:tabs>
          <w:tab w:val="clear" w:pos="360"/>
        </w:tabs>
      </w:pPr>
      <w:bookmarkStart w:id="12" w:name="_Toc4668"/>
      <w:r>
        <w:t>6.5</w:t>
      </w:r>
      <w:r>
        <w:rPr>
          <w:rFonts w:hint="eastAsia"/>
          <w:b w:val="0"/>
          <w:bCs/>
        </w:rPr>
        <w:t>噪声综合管控防治</w:t>
      </w:r>
      <w:bookmarkEnd w:id="12"/>
    </w:p>
    <w:p w:rsidR="00EB38B8" w:rsidRDefault="00EB38B8" w:rsidP="00DA16D4">
      <w:pPr>
        <w:autoSpaceDE w:val="0"/>
        <w:autoSpaceDN w:val="0"/>
        <w:adjustRightInd w:val="0"/>
        <w:snapToGrid w:val="0"/>
        <w:spacing w:line="520" w:lineRule="exact"/>
        <w:ind w:firstLineChars="200" w:firstLine="31680"/>
        <w:rPr>
          <w:rFonts w:ascii="仿宋" w:eastAsia="仿宋" w:hAnsi="仿宋" w:cs="仿宋"/>
          <w:sz w:val="32"/>
          <w:szCs w:val="32"/>
        </w:rPr>
      </w:pPr>
      <w:r>
        <w:rPr>
          <w:rFonts w:ascii="仿宋" w:eastAsia="仿宋" w:hAnsi="仿宋" w:cs="仿宋"/>
          <w:sz w:val="28"/>
          <w:szCs w:val="28"/>
        </w:rPr>
        <w:t xml:space="preserve"> </w:t>
      </w:r>
      <w:r>
        <w:rPr>
          <w:rFonts w:ascii="仿宋" w:eastAsia="仿宋" w:hAnsi="仿宋" w:cs="仿宋" w:hint="eastAsia"/>
          <w:sz w:val="32"/>
          <w:szCs w:val="32"/>
        </w:rPr>
        <w:t>为加强城市环境噪声管理，生态环境部门负责对全县环境噪声污染实行统一监督管理，并具体负责工业噪声和建筑施工噪声的监督管理；公安、交通部门负责交通噪声和社会生活噪声的监督管理。</w:t>
      </w:r>
      <w:r>
        <w:rPr>
          <w:rFonts w:ascii="仿宋" w:eastAsia="仿宋" w:hAnsi="仿宋" w:cs="仿宋"/>
          <w:sz w:val="32"/>
          <w:szCs w:val="32"/>
        </w:rPr>
        <w:t xml:space="preserve"> </w:t>
      </w:r>
    </w:p>
    <w:p w:rsidR="00EB38B8" w:rsidRDefault="00EB38B8" w:rsidP="00DA16D4">
      <w:pPr>
        <w:autoSpaceDE w:val="0"/>
        <w:autoSpaceDN w:val="0"/>
        <w:adjustRightInd w:val="0"/>
        <w:snapToGri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建设、城管、工商、教育、文化、交通等有关部门应当在各自职责范围内协助生态环境部门和公安部门分别对工业噪声、建筑施工噪声和交通噪声、社会生活噪声的监督管理。</w:t>
      </w:r>
    </w:p>
    <w:p w:rsidR="00EB38B8" w:rsidRDefault="00EB38B8" w:rsidP="00DA16D4">
      <w:pPr>
        <w:adjustRightInd w:val="0"/>
        <w:snapToGrid w:val="0"/>
        <w:spacing w:line="520" w:lineRule="exact"/>
        <w:ind w:firstLineChars="200" w:firstLine="31680"/>
        <w:rPr>
          <w:rFonts w:ascii="仿宋" w:eastAsia="仿宋" w:hAnsi="仿宋" w:cs="仿宋"/>
          <w:color w:val="000000"/>
          <w:kern w:val="0"/>
          <w:sz w:val="32"/>
          <w:szCs w:val="32"/>
        </w:rPr>
      </w:pPr>
      <w:r>
        <w:rPr>
          <w:rFonts w:ascii="仿宋" w:eastAsia="仿宋" w:hAnsi="仿宋" w:cs="仿宋" w:hint="eastAsia"/>
          <w:color w:val="000000"/>
          <w:kern w:val="0"/>
          <w:sz w:val="32"/>
          <w:szCs w:val="32"/>
        </w:rPr>
        <w:t>各级政府应重视噪声污染防治的法规建设，加大城市噪声管理力度。通过文明城市创建活动，提高各级政府对噪声防治的重视程度，增强运用行政、法律手段进行噪声管理的能力。加大噪声扰民危害的宣传教育，通过“六五”环境日创模活动引导市民的日常行为，提高市民遵章守法意识，有力促进城区噪声污染的防治。合理引导商业经济活动广播喇叭或其他高噪声设施的使用。合理规范文化广场、公园、游园中相关文化娱乐场所的噪声设施和使用，对音频大小和活动时段提出控制要求。</w:t>
      </w:r>
    </w:p>
    <w:p w:rsidR="00EB38B8" w:rsidRDefault="00EB38B8" w:rsidP="0061159B">
      <w:pPr>
        <w:pStyle w:val="Heading2"/>
        <w:keepNext w:val="0"/>
        <w:keepLines w:val="0"/>
        <w:numPr>
          <w:ilvl w:val="0"/>
          <w:numId w:val="0"/>
        </w:numPr>
        <w:tabs>
          <w:tab w:val="clear" w:pos="360"/>
          <w:tab w:val="left" w:pos="420"/>
        </w:tabs>
        <w:spacing w:beforeLines="50" w:afterLines="50" w:line="520" w:lineRule="exact"/>
        <w:rPr>
          <w:rFonts w:ascii="方正小标宋简体" w:cs="方正小标宋简体"/>
          <w:b w:val="0"/>
          <w:bCs/>
          <w:sz w:val="32"/>
          <w:szCs w:val="32"/>
        </w:rPr>
      </w:pPr>
      <w:r>
        <w:rPr>
          <w:rFonts w:ascii="方正小标宋简体" w:hAnsi="方正小标宋简体" w:cs="方正小标宋简体" w:hint="eastAsia"/>
          <w:b w:val="0"/>
          <w:bCs/>
          <w:sz w:val="32"/>
          <w:szCs w:val="32"/>
        </w:rPr>
        <w:t>七、实施与管理</w:t>
      </w:r>
      <w:bookmarkEnd w:id="6"/>
    </w:p>
    <w:p w:rsidR="00EB38B8" w:rsidRDefault="00EB38B8" w:rsidP="00DA16D4">
      <w:pPr>
        <w:ind w:firstLineChars="200" w:firstLine="31680"/>
        <w:rPr>
          <w:rFonts w:ascii="Times New Roman" w:eastAsia="仿宋" w:hAnsi="Times New Roman"/>
          <w:sz w:val="32"/>
          <w:szCs w:val="28"/>
        </w:rPr>
      </w:pPr>
      <w:r>
        <w:rPr>
          <w:rFonts w:ascii="Times New Roman" w:eastAsia="仿宋" w:hAnsi="Times New Roman" w:hint="eastAsia"/>
          <w:sz w:val="32"/>
          <w:szCs w:val="28"/>
        </w:rPr>
        <w:t>（一）西平县人民政府环境保护行政管理部门对本区域内的环境噪声污染防治实施统一监督管理。</w:t>
      </w:r>
    </w:p>
    <w:p w:rsidR="00EB38B8" w:rsidRDefault="00EB38B8" w:rsidP="00DA16D4">
      <w:pPr>
        <w:ind w:firstLineChars="200" w:firstLine="31680"/>
        <w:rPr>
          <w:rFonts w:ascii="Times New Roman" w:eastAsia="仿宋" w:hAnsi="Times New Roman"/>
          <w:sz w:val="32"/>
          <w:szCs w:val="28"/>
        </w:rPr>
      </w:pPr>
      <w:r>
        <w:rPr>
          <w:rFonts w:ascii="Times New Roman" w:eastAsia="仿宋" w:hAnsi="Times New Roman" w:hint="eastAsia"/>
          <w:sz w:val="32"/>
          <w:szCs w:val="28"/>
        </w:rPr>
        <w:t>（二）城乡规划部门在制定城乡规划时，应当确定保护和改善声环境的目标和任务；在确定建设布局时，应提出相应的规划设计要求。</w:t>
      </w:r>
    </w:p>
    <w:p w:rsidR="00EB38B8" w:rsidRDefault="00EB38B8" w:rsidP="00DA16D4">
      <w:pPr>
        <w:ind w:firstLineChars="200" w:firstLine="31680"/>
        <w:rPr>
          <w:rFonts w:ascii="Times New Roman" w:eastAsia="仿宋" w:hAnsi="Times New Roman"/>
          <w:sz w:val="32"/>
          <w:szCs w:val="28"/>
        </w:rPr>
      </w:pPr>
      <w:r>
        <w:rPr>
          <w:rFonts w:ascii="Times New Roman" w:eastAsia="仿宋" w:hAnsi="Times New Roman" w:hint="eastAsia"/>
          <w:sz w:val="32"/>
          <w:szCs w:val="28"/>
        </w:rPr>
        <w:t>（三）各级公安、建设、交通、铁路、城管等行政管理部门应根据各自职责，对交通运输、社会生活噪声及施工噪声污染防治实施监督管理。禁止在</w:t>
      </w:r>
      <w:r>
        <w:rPr>
          <w:rFonts w:ascii="Times New Roman" w:eastAsia="仿宋" w:hAnsi="Times New Roman"/>
          <w:sz w:val="32"/>
          <w:szCs w:val="28"/>
        </w:rPr>
        <w:t>1</w:t>
      </w:r>
      <w:r>
        <w:rPr>
          <w:rFonts w:ascii="Times New Roman" w:eastAsia="仿宋" w:hAnsi="Times New Roman" w:hint="eastAsia"/>
          <w:sz w:val="32"/>
          <w:szCs w:val="28"/>
        </w:rPr>
        <w:t>类区、严格限制在</w:t>
      </w:r>
      <w:r>
        <w:rPr>
          <w:rFonts w:ascii="Times New Roman" w:eastAsia="仿宋" w:hAnsi="Times New Roman"/>
          <w:sz w:val="32"/>
          <w:szCs w:val="28"/>
        </w:rPr>
        <w:t>2</w:t>
      </w:r>
      <w:r>
        <w:rPr>
          <w:rFonts w:ascii="Times New Roman" w:eastAsia="仿宋" w:hAnsi="Times New Roman" w:hint="eastAsia"/>
          <w:sz w:val="32"/>
          <w:szCs w:val="28"/>
        </w:rPr>
        <w:t>类区建设产生噪声污染的工业项目。</w:t>
      </w:r>
    </w:p>
    <w:p w:rsidR="00EB38B8" w:rsidRDefault="00EB38B8" w:rsidP="00DA16D4">
      <w:pPr>
        <w:ind w:firstLineChars="200" w:firstLine="31680"/>
        <w:rPr>
          <w:rFonts w:ascii="Times New Roman" w:eastAsia="仿宋" w:hAnsi="Times New Roman"/>
          <w:sz w:val="32"/>
          <w:szCs w:val="28"/>
        </w:rPr>
      </w:pPr>
      <w:r>
        <w:rPr>
          <w:rFonts w:ascii="Times New Roman" w:eastAsia="仿宋" w:hAnsi="Times New Roman" w:hint="eastAsia"/>
          <w:sz w:val="32"/>
          <w:szCs w:val="28"/>
        </w:rPr>
        <w:t>（四）新建营业性文化娱乐场所的边界噪声必须符合国家规定的环境噪声排放标准；不符合国家规定的环境噪声排放标准的，文化行政主管部门不得核发文化经营许可证，市场监督部门不得核发营业执照。</w:t>
      </w:r>
    </w:p>
    <w:p w:rsidR="00EB38B8" w:rsidRDefault="00EB38B8" w:rsidP="00DA16D4">
      <w:pPr>
        <w:ind w:firstLineChars="200" w:firstLine="31680"/>
        <w:rPr>
          <w:rFonts w:ascii="Times New Roman" w:eastAsia="仿宋" w:hAnsi="Times New Roman"/>
          <w:sz w:val="32"/>
          <w:szCs w:val="28"/>
        </w:rPr>
      </w:pPr>
      <w:r>
        <w:rPr>
          <w:rFonts w:ascii="Times New Roman" w:eastAsia="仿宋" w:hAnsi="Times New Roman" w:hint="eastAsia"/>
          <w:sz w:val="32"/>
          <w:szCs w:val="28"/>
        </w:rPr>
        <w:t>本方案未尽事宜，参照有关法律、法规和规章的相关条款执行。</w:t>
      </w:r>
    </w:p>
    <w:p w:rsidR="00EB38B8" w:rsidRDefault="00EB38B8">
      <w:pPr>
        <w:pStyle w:val="BodyTextFirstIndent2"/>
        <w:ind w:firstLineChars="0" w:firstLine="0"/>
        <w:rPr>
          <w:rFonts w:ascii="Times New Roman" w:eastAsia="仿宋_GB2312" w:hAnsi="Times New Roman"/>
          <w:color w:val="000000"/>
          <w:sz w:val="32"/>
          <w:szCs w:val="32"/>
        </w:rPr>
      </w:pPr>
    </w:p>
    <w:p w:rsidR="00EB38B8" w:rsidRDefault="00EB38B8" w:rsidP="00DA16D4">
      <w:pPr>
        <w:ind w:firstLineChars="200" w:firstLine="31680"/>
        <w:rPr>
          <w:rFonts w:ascii="Times New Roman" w:eastAsia="仿宋" w:hAnsi="Times New Roman"/>
          <w:bCs/>
          <w:sz w:val="32"/>
          <w:szCs w:val="28"/>
        </w:rPr>
      </w:pPr>
      <w:r>
        <w:rPr>
          <w:rFonts w:ascii="Times New Roman" w:eastAsia="仿宋" w:hAnsi="Times New Roman" w:hint="eastAsia"/>
          <w:bCs/>
          <w:sz w:val="32"/>
          <w:szCs w:val="28"/>
        </w:rPr>
        <w:t>附件：《西平县声功能区划分部门职责清单》</w:t>
      </w:r>
    </w:p>
    <w:p w:rsidR="00EB38B8" w:rsidRDefault="00EB38B8" w:rsidP="00DA16D4">
      <w:pPr>
        <w:adjustRightInd w:val="0"/>
        <w:snapToGrid w:val="0"/>
        <w:spacing w:line="520" w:lineRule="exact"/>
        <w:ind w:firstLineChars="200" w:firstLine="31680"/>
        <w:rPr>
          <w:rFonts w:ascii="Times New Roman" w:eastAsia="仿宋" w:hAnsi="Times New Roman"/>
          <w:sz w:val="28"/>
          <w:szCs w:val="28"/>
        </w:rPr>
      </w:pPr>
    </w:p>
    <w:p w:rsidR="00EB38B8" w:rsidRDefault="00EB38B8" w:rsidP="00DA16D4">
      <w:pPr>
        <w:adjustRightInd w:val="0"/>
        <w:snapToGrid w:val="0"/>
        <w:spacing w:line="520" w:lineRule="exact"/>
        <w:ind w:firstLineChars="200" w:firstLine="31680"/>
        <w:rPr>
          <w:rFonts w:ascii="Times New Roman" w:eastAsia="仿宋" w:hAnsi="Times New Roman"/>
          <w:sz w:val="28"/>
          <w:szCs w:val="28"/>
        </w:rPr>
        <w:sectPr w:rsidR="00EB38B8">
          <w:pgSz w:w="11906" w:h="16838"/>
          <w:pgMar w:top="1418" w:right="1418" w:bottom="1418" w:left="1418" w:header="851" w:footer="992" w:gutter="0"/>
          <w:pgNumType w:fmt="numberInDash"/>
          <w:cols w:space="425"/>
          <w:docGrid w:type="linesAndChars" w:linePitch="312"/>
        </w:sectPr>
      </w:pPr>
    </w:p>
    <w:p w:rsidR="00EB38B8" w:rsidRDefault="00EB38B8">
      <w:pPr>
        <w:adjustRightInd w:val="0"/>
        <w:snapToGrid w:val="0"/>
        <w:spacing w:line="520" w:lineRule="exact"/>
        <w:rPr>
          <w:rFonts w:ascii="黑体" w:eastAsia="黑体" w:hAnsi="黑体"/>
          <w:sz w:val="32"/>
          <w:szCs w:val="30"/>
        </w:rPr>
      </w:pPr>
      <w:r>
        <w:rPr>
          <w:rFonts w:ascii="黑体" w:eastAsia="黑体" w:hAnsi="黑体" w:hint="eastAsia"/>
          <w:sz w:val="32"/>
          <w:szCs w:val="30"/>
        </w:rPr>
        <w:t>附</w:t>
      </w:r>
      <w:r>
        <w:rPr>
          <w:rFonts w:ascii="黑体" w:eastAsia="黑体" w:hAnsi="黑体"/>
          <w:sz w:val="32"/>
          <w:szCs w:val="30"/>
        </w:rPr>
        <w:t xml:space="preserve"> </w:t>
      </w:r>
      <w:r>
        <w:rPr>
          <w:rFonts w:ascii="黑体" w:eastAsia="黑体" w:hAnsi="黑体" w:hint="eastAsia"/>
          <w:sz w:val="32"/>
          <w:szCs w:val="30"/>
        </w:rPr>
        <w:t>件</w:t>
      </w:r>
    </w:p>
    <w:p w:rsidR="00EB38B8" w:rsidRDefault="00EB38B8">
      <w:pPr>
        <w:jc w:val="center"/>
        <w:rPr>
          <w:rFonts w:ascii="方正小标宋_GBK" w:eastAsia="方正小标宋_GBK" w:hAnsi="黑体"/>
          <w:sz w:val="44"/>
          <w:szCs w:val="30"/>
        </w:rPr>
      </w:pPr>
      <w:r>
        <w:rPr>
          <w:rFonts w:ascii="方正小标宋_GBK" w:eastAsia="方正小标宋_GBK" w:hAnsi="黑体" w:hint="eastAsia"/>
          <w:sz w:val="44"/>
          <w:szCs w:val="30"/>
        </w:rPr>
        <w:t>西平县声功能区划分部门职责清单</w:t>
      </w:r>
    </w:p>
    <w:p w:rsidR="00EB38B8" w:rsidRDefault="00EB38B8" w:rsidP="004C78E1">
      <w:pPr>
        <w:spacing w:line="560" w:lineRule="exact"/>
        <w:ind w:firstLineChars="200" w:firstLine="31680"/>
        <w:rPr>
          <w:rFonts w:ascii="仿宋_GB2312" w:eastAsia="仿宋_GB2312" w:hAnsi="黑体"/>
          <w:sz w:val="32"/>
          <w:szCs w:val="30"/>
        </w:rPr>
      </w:pPr>
    </w:p>
    <w:p w:rsidR="00EB38B8" w:rsidRDefault="00EB38B8" w:rsidP="004C78E1">
      <w:pPr>
        <w:spacing w:line="560" w:lineRule="exact"/>
        <w:ind w:firstLineChars="200" w:firstLine="31680"/>
        <w:rPr>
          <w:rFonts w:ascii="仿宋_GB2312" w:eastAsia="仿宋_GB2312" w:hAnsi="黑体"/>
          <w:sz w:val="32"/>
          <w:szCs w:val="30"/>
        </w:rPr>
      </w:pPr>
      <w:r>
        <w:rPr>
          <w:rFonts w:ascii="仿宋_GB2312" w:eastAsia="仿宋_GB2312" w:hAnsi="黑体" w:hint="eastAsia"/>
          <w:sz w:val="32"/>
          <w:szCs w:val="30"/>
        </w:rPr>
        <w:t>西平县人民政府对本辖区内的声环境质量总负责。</w:t>
      </w:r>
    </w:p>
    <w:p w:rsidR="00EB38B8" w:rsidRDefault="00EB38B8" w:rsidP="004C78E1">
      <w:pPr>
        <w:spacing w:line="560" w:lineRule="exact"/>
        <w:ind w:firstLineChars="200" w:firstLine="31680"/>
        <w:rPr>
          <w:rFonts w:ascii="仿宋_GB2312" w:eastAsia="仿宋_GB2312" w:hAnsi="黑体"/>
          <w:sz w:val="32"/>
          <w:szCs w:val="30"/>
        </w:rPr>
      </w:pPr>
      <w:r>
        <w:rPr>
          <w:rFonts w:ascii="仿宋_GB2312" w:eastAsia="仿宋_GB2312" w:hAnsi="黑体" w:hint="eastAsia"/>
          <w:sz w:val="32"/>
          <w:szCs w:val="30"/>
        </w:rPr>
        <w:t>生态环境部门：对本区域内的环境噪声污染防治实施统一监督管理，主要负责工业噪声监督管理。</w:t>
      </w:r>
    </w:p>
    <w:p w:rsidR="00EB38B8" w:rsidRDefault="00EB38B8" w:rsidP="004C78E1">
      <w:pPr>
        <w:spacing w:line="560" w:lineRule="exact"/>
        <w:ind w:firstLineChars="200" w:firstLine="31680"/>
        <w:rPr>
          <w:rFonts w:ascii="仿宋_GB2312" w:eastAsia="仿宋_GB2312" w:hAnsi="黑体"/>
          <w:sz w:val="32"/>
          <w:szCs w:val="30"/>
        </w:rPr>
      </w:pPr>
      <w:r>
        <w:rPr>
          <w:rFonts w:ascii="仿宋_GB2312" w:eastAsia="仿宋_GB2312" w:hAnsi="黑体" w:hint="eastAsia"/>
          <w:sz w:val="32"/>
          <w:szCs w:val="30"/>
        </w:rPr>
        <w:t>城市管理部门：负责建筑施工、市政道路施工噪声，根据权责划分负责社会生活噪声的监督管理。</w:t>
      </w:r>
    </w:p>
    <w:p w:rsidR="00EB38B8" w:rsidRDefault="00EB38B8" w:rsidP="004C78E1">
      <w:pPr>
        <w:spacing w:line="560" w:lineRule="exact"/>
        <w:ind w:firstLineChars="200" w:firstLine="31680"/>
        <w:rPr>
          <w:rFonts w:ascii="Times New Roman" w:eastAsia="仿宋_GB2312" w:hAnsi="Times New Roman"/>
          <w:sz w:val="32"/>
          <w:szCs w:val="30"/>
        </w:rPr>
      </w:pPr>
      <w:r>
        <w:rPr>
          <w:rFonts w:ascii="Times New Roman" w:eastAsia="仿宋_GB2312" w:hAnsi="Times New Roman" w:hint="eastAsia"/>
          <w:sz w:val="32"/>
          <w:szCs w:val="30"/>
        </w:rPr>
        <w:t>公安部门：社会生活噪声和交通噪声的监督管理。其中社会噪声具体包括：</w:t>
      </w:r>
      <w:r>
        <w:rPr>
          <w:rFonts w:ascii="Times New Roman" w:eastAsia="仿宋_GB2312" w:hAnsi="Times New Roman"/>
          <w:sz w:val="32"/>
          <w:szCs w:val="30"/>
        </w:rPr>
        <w:t>1</w:t>
      </w:r>
      <w:r>
        <w:rPr>
          <w:rFonts w:ascii="Times New Roman" w:eastAsia="仿宋_GB2312" w:hAnsi="Times New Roman" w:hint="eastAsia"/>
          <w:sz w:val="32"/>
          <w:szCs w:val="30"/>
        </w:rPr>
        <w:t>、市区街道、广场、公园等公共场所组织娱乐、集会等活动，使用音响器材发出的噪音。</w:t>
      </w:r>
      <w:r>
        <w:rPr>
          <w:rFonts w:ascii="Times New Roman" w:eastAsia="仿宋_GB2312" w:hAnsi="Times New Roman"/>
          <w:sz w:val="32"/>
          <w:szCs w:val="30"/>
        </w:rPr>
        <w:t>2</w:t>
      </w:r>
      <w:r>
        <w:rPr>
          <w:rFonts w:ascii="Times New Roman" w:eastAsia="仿宋_GB2312" w:hAnsi="Times New Roman" w:hint="eastAsia"/>
          <w:sz w:val="32"/>
          <w:szCs w:val="30"/>
        </w:rPr>
        <w:t>、家用电器、乐器或者是进行其他家庭室内娱乐活动时发出的噪音。</w:t>
      </w:r>
      <w:r>
        <w:rPr>
          <w:rFonts w:ascii="Times New Roman" w:eastAsia="仿宋_GB2312" w:hAnsi="Times New Roman"/>
          <w:sz w:val="32"/>
          <w:szCs w:val="30"/>
        </w:rPr>
        <w:t>3</w:t>
      </w:r>
      <w:r>
        <w:rPr>
          <w:rFonts w:ascii="Times New Roman" w:eastAsia="仿宋_GB2312" w:hAnsi="Times New Roman" w:hint="eastAsia"/>
          <w:sz w:val="32"/>
          <w:szCs w:val="30"/>
        </w:rPr>
        <w:t>、室内装修活动发出的噪音。</w:t>
      </w:r>
    </w:p>
    <w:p w:rsidR="00EB38B8" w:rsidRDefault="00EB38B8" w:rsidP="004C78E1">
      <w:pPr>
        <w:spacing w:line="560" w:lineRule="exact"/>
        <w:ind w:firstLineChars="200" w:firstLine="31680"/>
        <w:rPr>
          <w:rFonts w:ascii="仿宋_GB2312" w:eastAsia="仿宋_GB2312" w:hAnsi="黑体"/>
          <w:sz w:val="32"/>
          <w:szCs w:val="30"/>
        </w:rPr>
      </w:pPr>
      <w:r>
        <w:rPr>
          <w:rFonts w:ascii="仿宋_GB2312" w:eastAsia="仿宋_GB2312" w:hAnsi="黑体" w:hint="eastAsia"/>
          <w:sz w:val="32"/>
          <w:szCs w:val="30"/>
        </w:rPr>
        <w:t>交通运输部门：负责其他道路施工、交通噪声管理。加强对道路的维护和保养，保持道路及设施完好，降低车辆通行产生的噪声。</w:t>
      </w:r>
    </w:p>
    <w:p w:rsidR="00EB38B8" w:rsidRDefault="00EB38B8" w:rsidP="004C78E1">
      <w:pPr>
        <w:spacing w:line="560" w:lineRule="exact"/>
        <w:ind w:firstLineChars="200" w:firstLine="31680"/>
        <w:rPr>
          <w:rFonts w:ascii="仿宋_GB2312" w:eastAsia="仿宋_GB2312" w:hAnsi="黑体"/>
          <w:sz w:val="32"/>
          <w:szCs w:val="30"/>
        </w:rPr>
      </w:pPr>
      <w:r>
        <w:rPr>
          <w:rFonts w:ascii="仿宋_GB2312" w:eastAsia="仿宋_GB2312" w:hAnsi="黑体" w:hint="eastAsia"/>
          <w:sz w:val="32"/>
          <w:szCs w:val="30"/>
        </w:rPr>
        <w:t>自然资源规划部门：在制定城乡规划时，确定保护和改善声环境的目标和任务；科学规划道路和敏感建筑物集中区之间的防护距离，防止噪声扰民问题的发生。</w:t>
      </w:r>
    </w:p>
    <w:p w:rsidR="00EB38B8" w:rsidRDefault="00EB38B8" w:rsidP="004C78E1">
      <w:pPr>
        <w:spacing w:line="560" w:lineRule="exact"/>
        <w:ind w:firstLineChars="200" w:firstLine="31680"/>
        <w:rPr>
          <w:rFonts w:ascii="仿宋_GB2312" w:eastAsia="仿宋_GB2312" w:hAnsi="黑体"/>
          <w:sz w:val="32"/>
          <w:szCs w:val="30"/>
        </w:rPr>
      </w:pPr>
      <w:r>
        <w:rPr>
          <w:rFonts w:ascii="仿宋_GB2312" w:eastAsia="仿宋_GB2312" w:hAnsi="黑体" w:hint="eastAsia"/>
          <w:sz w:val="32"/>
          <w:szCs w:val="30"/>
        </w:rPr>
        <w:t>文广旅游部门：组织电视台、广播电台、报社、网络等媒体积极开展噪声功能区宣传工作。</w:t>
      </w:r>
    </w:p>
    <w:p w:rsidR="00EB38B8" w:rsidRPr="004C78E1" w:rsidRDefault="00EB38B8" w:rsidP="004C78E1">
      <w:pPr>
        <w:spacing w:line="560" w:lineRule="exact"/>
        <w:ind w:firstLineChars="200" w:firstLine="31680"/>
        <w:rPr>
          <w:rFonts w:ascii="仿宋_GB2312" w:eastAsia="仿宋_GB2312" w:hAnsi="黑体"/>
          <w:sz w:val="32"/>
          <w:szCs w:val="30"/>
        </w:rPr>
      </w:pPr>
      <w:r w:rsidRPr="004C78E1">
        <w:rPr>
          <w:rFonts w:ascii="仿宋_GB2312" w:eastAsia="仿宋_GB2312" w:hAnsi="黑体" w:hint="eastAsia"/>
          <w:sz w:val="32"/>
          <w:szCs w:val="30"/>
        </w:rPr>
        <w:t>住建部门：加强对民用建筑隔声设计和施工强制性标准执行情况的监督管理，推广使用降噪、防振的产品和材料。</w:t>
      </w:r>
    </w:p>
    <w:sectPr w:rsidR="00EB38B8" w:rsidRPr="004C78E1" w:rsidSect="00323F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华文仿宋">
    <w:altName w:val="仿宋"/>
    <w:panose1 w:val="00000000000000000000"/>
    <w:charset w:val="86"/>
    <w:family w:val="auto"/>
    <w:notTrueType/>
    <w:pitch w:val="default"/>
    <w:sig w:usb0="00000287" w:usb1="080E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79907"/>
    <w:multiLevelType w:val="multilevel"/>
    <w:tmpl w:val="63B79907"/>
    <w:lvl w:ilvl="0" w:tentative="1">
      <w:start w:val="1"/>
      <w:numFmt w:val="decimal"/>
      <w:pStyle w:val="Heading1"/>
      <w:lvlText w:val="%1"/>
      <w:lvlJc w:val="left"/>
      <w:pPr>
        <w:tabs>
          <w:tab w:val="left" w:pos="360"/>
        </w:tabs>
        <w:ind w:left="5040"/>
      </w:pPr>
      <w:rPr>
        <w:rFonts w:cs="Times New Roman"/>
      </w:rPr>
    </w:lvl>
    <w:lvl w:ilvl="1" w:tentative="1">
      <w:start w:val="1"/>
      <w:numFmt w:val="decimal"/>
      <w:pStyle w:val="Heading2"/>
      <w:lvlText w:val="%1.%2"/>
      <w:lvlJc w:val="left"/>
      <w:pPr>
        <w:tabs>
          <w:tab w:val="left" w:pos="720"/>
        </w:tabs>
        <w:ind w:left="5040"/>
      </w:pPr>
      <w:rPr>
        <w:rFonts w:cs="Times New Roman"/>
      </w:rPr>
    </w:lvl>
    <w:lvl w:ilvl="2" w:tentative="1">
      <w:start w:val="1"/>
      <w:numFmt w:val="decimal"/>
      <w:pStyle w:val="Heading3"/>
      <w:lvlText w:val="%1.%2.%3"/>
      <w:lvlJc w:val="left"/>
      <w:pPr>
        <w:tabs>
          <w:tab w:val="left" w:pos="720"/>
        </w:tabs>
        <w:ind w:left="5040"/>
      </w:pPr>
      <w:rPr>
        <w:rFonts w:cs="Times New Roman"/>
      </w:rPr>
    </w:lvl>
    <w:lvl w:ilvl="3" w:tentative="1">
      <w:start w:val="1"/>
      <w:numFmt w:val="decimal"/>
      <w:lvlText w:val="%1.%2.%3.%4"/>
      <w:lvlJc w:val="left"/>
      <w:pPr>
        <w:tabs>
          <w:tab w:val="left" w:pos="1080"/>
        </w:tabs>
        <w:ind w:left="5040"/>
      </w:pPr>
      <w:rPr>
        <w:rFonts w:cs="Times New Roman"/>
      </w:rPr>
    </w:lvl>
    <w:lvl w:ilvl="4" w:tentative="1">
      <w:start w:val="1"/>
      <w:numFmt w:val="decimal"/>
      <w:lvlText w:val="%1.%2.%3.%4.%5"/>
      <w:lvlJc w:val="left"/>
      <w:pPr>
        <w:tabs>
          <w:tab w:val="left" w:pos="1008"/>
        </w:tabs>
        <w:ind w:left="6048" w:hanging="1008"/>
      </w:pPr>
      <w:rPr>
        <w:rFonts w:cs="Times New Roman"/>
      </w:rPr>
    </w:lvl>
    <w:lvl w:ilvl="5" w:tentative="1">
      <w:start w:val="1"/>
      <w:numFmt w:val="decimal"/>
      <w:lvlText w:val="%1.%2.%3.%4.%5.%6"/>
      <w:lvlJc w:val="left"/>
      <w:pPr>
        <w:tabs>
          <w:tab w:val="left" w:pos="1152"/>
        </w:tabs>
        <w:ind w:left="6192" w:hanging="1152"/>
      </w:pPr>
      <w:rPr>
        <w:rFonts w:cs="Times New Roman"/>
      </w:rPr>
    </w:lvl>
    <w:lvl w:ilvl="6" w:tentative="1">
      <w:start w:val="1"/>
      <w:numFmt w:val="decimal"/>
      <w:lvlText w:val="%1.%2.%3.%4.%5.%6.%7"/>
      <w:lvlJc w:val="left"/>
      <w:pPr>
        <w:tabs>
          <w:tab w:val="left" w:pos="1296"/>
        </w:tabs>
        <w:ind w:left="6336" w:hanging="1296"/>
      </w:pPr>
      <w:rPr>
        <w:rFonts w:cs="Times New Roman"/>
      </w:rPr>
    </w:lvl>
    <w:lvl w:ilvl="7" w:tentative="1">
      <w:start w:val="1"/>
      <w:numFmt w:val="decimal"/>
      <w:lvlText w:val="%1.%2.%3.%4.%5.%6.%7.%8"/>
      <w:lvlJc w:val="left"/>
      <w:pPr>
        <w:tabs>
          <w:tab w:val="left" w:pos="1440"/>
        </w:tabs>
        <w:ind w:left="6480" w:hanging="1440"/>
      </w:pPr>
      <w:rPr>
        <w:rFonts w:cs="Times New Roman"/>
      </w:rPr>
    </w:lvl>
    <w:lvl w:ilvl="8" w:tentative="1">
      <w:start w:val="1"/>
      <w:numFmt w:val="decimal"/>
      <w:lvlText w:val="%1.%2.%3.%4.%5.%6.%7.%8.%9"/>
      <w:lvlJc w:val="left"/>
      <w:pPr>
        <w:tabs>
          <w:tab w:val="left" w:pos="1584"/>
        </w:tabs>
        <w:ind w:left="66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F6D"/>
    <w:rsid w:val="002B480C"/>
    <w:rsid w:val="00323F6D"/>
    <w:rsid w:val="00330049"/>
    <w:rsid w:val="00361F5C"/>
    <w:rsid w:val="004C78E1"/>
    <w:rsid w:val="0061159B"/>
    <w:rsid w:val="0093749F"/>
    <w:rsid w:val="00DA16D4"/>
    <w:rsid w:val="00DC0E2F"/>
    <w:rsid w:val="00EB38B8"/>
    <w:rsid w:val="00F47D8B"/>
    <w:rsid w:val="0BC36F8B"/>
    <w:rsid w:val="14656203"/>
    <w:rsid w:val="172626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6D"/>
    <w:pPr>
      <w:widowControl w:val="0"/>
      <w:jc w:val="both"/>
    </w:pPr>
    <w:rPr>
      <w:szCs w:val="24"/>
    </w:rPr>
  </w:style>
  <w:style w:type="paragraph" w:styleId="Heading1">
    <w:name w:val="heading 1"/>
    <w:basedOn w:val="Normal"/>
    <w:next w:val="Normal"/>
    <w:link w:val="Heading1Char"/>
    <w:uiPriority w:val="99"/>
    <w:qFormat/>
    <w:rsid w:val="00323F6D"/>
    <w:pPr>
      <w:keepNext/>
      <w:keepLines/>
      <w:numPr>
        <w:numId w:val="1"/>
      </w:numPr>
      <w:adjustRightInd w:val="0"/>
      <w:snapToGrid w:val="0"/>
      <w:spacing w:before="120" w:after="120"/>
      <w:jc w:val="center"/>
      <w:outlineLvl w:val="0"/>
    </w:pPr>
    <w:rPr>
      <w:rFonts w:ascii="Times New Roman" w:eastAsia="方正小标宋简体" w:hAnsi="Times New Roman"/>
      <w:b/>
      <w:kern w:val="44"/>
      <w:sz w:val="32"/>
      <w:szCs w:val="20"/>
    </w:rPr>
  </w:style>
  <w:style w:type="paragraph" w:styleId="Heading2">
    <w:name w:val="heading 2"/>
    <w:basedOn w:val="Normal"/>
    <w:next w:val="Normal"/>
    <w:link w:val="Heading2Char"/>
    <w:uiPriority w:val="99"/>
    <w:qFormat/>
    <w:rsid w:val="00323F6D"/>
    <w:pPr>
      <w:keepNext/>
      <w:keepLines/>
      <w:numPr>
        <w:ilvl w:val="1"/>
        <w:numId w:val="1"/>
      </w:numPr>
      <w:adjustRightInd w:val="0"/>
      <w:snapToGrid w:val="0"/>
      <w:spacing w:before="120" w:after="120"/>
      <w:jc w:val="left"/>
      <w:outlineLvl w:val="1"/>
    </w:pPr>
    <w:rPr>
      <w:rFonts w:ascii="Times New Roman" w:eastAsia="方正小标宋简体" w:hAnsi="Times New Roman"/>
      <w:b/>
      <w:kern w:val="0"/>
      <w:sz w:val="28"/>
      <w:szCs w:val="20"/>
    </w:rPr>
  </w:style>
  <w:style w:type="paragraph" w:styleId="Heading3">
    <w:name w:val="heading 3"/>
    <w:basedOn w:val="Normal"/>
    <w:next w:val="NormalIndent"/>
    <w:link w:val="Heading3Char"/>
    <w:uiPriority w:val="99"/>
    <w:qFormat/>
    <w:rsid w:val="00323F6D"/>
    <w:pPr>
      <w:keepNext/>
      <w:keepLines/>
      <w:numPr>
        <w:ilvl w:val="2"/>
        <w:numId w:val="1"/>
      </w:numPr>
      <w:adjustRightInd w:val="0"/>
      <w:snapToGrid w:val="0"/>
      <w:spacing w:before="120" w:after="120"/>
      <w:jc w:val="left"/>
      <w:outlineLvl w:val="2"/>
    </w:pPr>
    <w:rPr>
      <w:rFonts w:ascii="Times New Roman" w:eastAsia="楷体" w:hAnsi="Times New Roman"/>
      <w:b/>
      <w:kern w:val="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8C5"/>
    <w:rPr>
      <w:b/>
      <w:bCs/>
      <w:kern w:val="44"/>
      <w:sz w:val="44"/>
      <w:szCs w:val="44"/>
    </w:rPr>
  </w:style>
  <w:style w:type="character" w:customStyle="1" w:styleId="Heading2Char">
    <w:name w:val="Heading 2 Char"/>
    <w:basedOn w:val="DefaultParagraphFont"/>
    <w:link w:val="Heading2"/>
    <w:uiPriority w:val="9"/>
    <w:semiHidden/>
    <w:rsid w:val="007F38C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F38C5"/>
    <w:rPr>
      <w:b/>
      <w:bCs/>
      <w:sz w:val="32"/>
      <w:szCs w:val="32"/>
    </w:rPr>
  </w:style>
  <w:style w:type="paragraph" w:styleId="NormalIndent">
    <w:name w:val="Normal Indent"/>
    <w:basedOn w:val="Normal"/>
    <w:uiPriority w:val="99"/>
    <w:rsid w:val="00323F6D"/>
    <w:pPr>
      <w:adjustRightInd w:val="0"/>
      <w:spacing w:line="324" w:lineRule="auto"/>
      <w:ind w:firstLine="567"/>
    </w:pPr>
    <w:rPr>
      <w:rFonts w:ascii="Times New Roman" w:hAnsi="Times New Roman"/>
      <w:kern w:val="0"/>
      <w:sz w:val="28"/>
      <w:szCs w:val="20"/>
    </w:rPr>
  </w:style>
  <w:style w:type="paragraph" w:styleId="BodyTextIndent">
    <w:name w:val="Body Text Indent"/>
    <w:basedOn w:val="Normal"/>
    <w:link w:val="BodyTextIndentChar"/>
    <w:uiPriority w:val="99"/>
    <w:rsid w:val="00323F6D"/>
    <w:pPr>
      <w:spacing w:line="400" w:lineRule="atLeast"/>
      <w:ind w:firstLineChars="200" w:firstLine="480"/>
    </w:pPr>
    <w:rPr>
      <w:rFonts w:ascii="宋体" w:hAnsi="宋体"/>
      <w:kern w:val="0"/>
      <w:sz w:val="24"/>
    </w:rPr>
  </w:style>
  <w:style w:type="character" w:customStyle="1" w:styleId="BodyTextIndentChar">
    <w:name w:val="Body Text Indent Char"/>
    <w:basedOn w:val="DefaultParagraphFont"/>
    <w:link w:val="BodyTextIndent"/>
    <w:uiPriority w:val="99"/>
    <w:semiHidden/>
    <w:rsid w:val="007F38C5"/>
    <w:rPr>
      <w:szCs w:val="24"/>
    </w:rPr>
  </w:style>
  <w:style w:type="paragraph" w:styleId="BodyTextFirstIndent2">
    <w:name w:val="Body Text First Indent 2"/>
    <w:basedOn w:val="BodyTextIndent"/>
    <w:link w:val="BodyTextFirstIndent2Char"/>
    <w:uiPriority w:val="99"/>
    <w:rsid w:val="00323F6D"/>
    <w:pPr>
      <w:tabs>
        <w:tab w:val="left" w:pos="2415"/>
      </w:tabs>
      <w:ind w:firstLine="420"/>
    </w:pPr>
  </w:style>
  <w:style w:type="character" w:customStyle="1" w:styleId="BodyTextFirstIndent2Char">
    <w:name w:val="Body Text First Indent 2 Char"/>
    <w:basedOn w:val="BodyTextIndentChar"/>
    <w:link w:val="BodyTextFirstIndent2"/>
    <w:uiPriority w:val="99"/>
    <w:semiHidden/>
    <w:rsid w:val="007F38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825</Words>
  <Characters>4703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关于对《西平县城市区域声环境功能区划分》</dc:title>
  <dc:subject/>
  <dc:creator>Administrator</dc:creator>
  <cp:keywords/>
  <dc:description/>
  <cp:lastModifiedBy>lenovo</cp:lastModifiedBy>
  <cp:revision>6</cp:revision>
  <dcterms:created xsi:type="dcterms:W3CDTF">2023-01-06T04:01:00Z</dcterms:created>
  <dcterms:modified xsi:type="dcterms:W3CDTF">2023-01-06T04:02:00Z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