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s="Times New Roman"/>
          <w:sz w:val="44"/>
          <w:szCs w:val="18"/>
        </w:rPr>
      </w:pPr>
      <w:bookmarkStart w:id="0" w:name="_GoBack"/>
      <w:bookmarkEnd w:id="0"/>
    </w:p>
    <w:p>
      <w:pPr>
        <w:spacing w:line="600" w:lineRule="exact"/>
        <w:jc w:val="center"/>
        <w:rPr>
          <w:rFonts w:ascii="方正小标宋简体" w:hAnsi="宋体" w:eastAsia="方正小标宋简体" w:cs="Times New Roman"/>
          <w:sz w:val="44"/>
          <w:szCs w:val="18"/>
        </w:rPr>
      </w:pPr>
    </w:p>
    <w:p>
      <w:pPr>
        <w:tabs>
          <w:tab w:val="left" w:pos="2565"/>
          <w:tab w:val="center" w:pos="4479"/>
        </w:tabs>
        <w:spacing w:line="600" w:lineRule="exact"/>
        <w:ind w:firstLine="2240" w:firstLineChars="700"/>
        <w:rPr>
          <w:rFonts w:ascii="仿宋_GB2312" w:hAnsi="宋体" w:eastAsia="仿宋_GB2312" w:cs="仿宋_GB2312"/>
          <w:sz w:val="32"/>
          <w:szCs w:val="32"/>
        </w:rPr>
      </w:pPr>
    </w:p>
    <w:p>
      <w:pPr>
        <w:tabs>
          <w:tab w:val="left" w:pos="2565"/>
          <w:tab w:val="center" w:pos="4479"/>
        </w:tabs>
        <w:spacing w:line="600" w:lineRule="exact"/>
        <w:rPr>
          <w:rFonts w:ascii="仿宋_GB2312" w:hAnsi="宋体" w:eastAsia="仿宋_GB2312" w:cs="仿宋_GB2312"/>
          <w:sz w:val="32"/>
          <w:szCs w:val="32"/>
        </w:rPr>
      </w:pPr>
    </w:p>
    <w:p>
      <w:pPr>
        <w:tabs>
          <w:tab w:val="left" w:pos="2565"/>
          <w:tab w:val="center" w:pos="4479"/>
        </w:tabs>
        <w:spacing w:line="600" w:lineRule="exact"/>
        <w:ind w:firstLine="2240" w:firstLineChars="700"/>
        <w:rPr>
          <w:rFonts w:ascii="仿宋_GB2312" w:hAnsi="宋体" w:eastAsia="仿宋_GB2312" w:cs="仿宋_GB2312"/>
          <w:sz w:val="32"/>
          <w:szCs w:val="32"/>
        </w:rPr>
      </w:pPr>
    </w:p>
    <w:p>
      <w:pPr>
        <w:tabs>
          <w:tab w:val="left" w:pos="2565"/>
          <w:tab w:val="center" w:pos="4479"/>
        </w:tabs>
        <w:spacing w:line="600" w:lineRule="exact"/>
        <w:ind w:firstLine="2240" w:firstLineChars="700"/>
        <w:rPr>
          <w:rFonts w:ascii="仿宋_GB2312" w:hAnsi="宋体" w:eastAsia="仿宋_GB2312" w:cs="仿宋_GB2312"/>
          <w:sz w:val="32"/>
          <w:szCs w:val="32"/>
        </w:rPr>
      </w:pPr>
    </w:p>
    <w:p>
      <w:pPr>
        <w:tabs>
          <w:tab w:val="left" w:pos="2565"/>
          <w:tab w:val="center" w:pos="4479"/>
        </w:tabs>
        <w:spacing w:line="580" w:lineRule="exact"/>
        <w:rPr>
          <w:rFonts w:ascii="仿宋_GB2312" w:hAnsi="宋体" w:eastAsia="仿宋_GB2312" w:cs="仿宋_GB2312"/>
          <w:sz w:val="32"/>
          <w:szCs w:val="32"/>
        </w:rPr>
      </w:pPr>
    </w:p>
    <w:p>
      <w:pPr>
        <w:tabs>
          <w:tab w:val="left" w:pos="2565"/>
          <w:tab w:val="center" w:pos="4479"/>
        </w:tabs>
        <w:spacing w:line="580" w:lineRule="exact"/>
        <w:jc w:val="center"/>
        <w:rPr>
          <w:rFonts w:ascii="仿宋_GB2312" w:hAnsi="宋体" w:eastAsia="仿宋_GB2312" w:cs="Times New Roman"/>
          <w:sz w:val="32"/>
          <w:szCs w:val="32"/>
        </w:rPr>
      </w:pPr>
      <w:r>
        <w:rPr>
          <w:rFonts w:hint="eastAsia" w:ascii="仿宋_GB2312" w:hAnsi="宋体" w:eastAsia="仿宋_GB2312" w:cs="仿宋_GB2312"/>
          <w:sz w:val="32"/>
          <w:szCs w:val="32"/>
        </w:rPr>
        <w:t>西市监〔</w:t>
      </w:r>
      <w:r>
        <w:rPr>
          <w:rFonts w:ascii="仿宋_GB2312" w:hAnsi="宋体" w:eastAsia="仿宋_GB2312" w:cs="仿宋_GB2312"/>
          <w:sz w:val="32"/>
          <w:szCs w:val="32"/>
        </w:rPr>
        <w:t>20</w:t>
      </w:r>
      <w:r>
        <w:rPr>
          <w:rFonts w:hint="eastAsia" w:ascii="仿宋_GB2312" w:hAnsi="宋体" w:eastAsia="仿宋_GB2312" w:cs="仿宋_GB2312"/>
          <w:sz w:val="32"/>
          <w:szCs w:val="32"/>
        </w:rPr>
        <w:t>22〕86号</w:t>
      </w:r>
    </w:p>
    <w:p>
      <w:pPr>
        <w:spacing w:line="580" w:lineRule="exact"/>
        <w:jc w:val="center"/>
        <w:rPr>
          <w:rFonts w:ascii="仿宋" w:hAnsi="仿宋" w:eastAsia="仿宋" w:cs="Times New Roman"/>
          <w:sz w:val="44"/>
          <w:szCs w:val="44"/>
        </w:rPr>
      </w:pP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西平县市场监督管理局</w:t>
      </w:r>
    </w:p>
    <w:p>
      <w:pPr>
        <w:widowControl/>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培育壮大市场主体十四条措施</w:t>
      </w:r>
    </w:p>
    <w:p>
      <w:pPr>
        <w:spacing w:line="58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为深入贯彻习近平总书记“疫情要防住、经济要稳住、发展要安全”重大要求，认真落实李克强总理主持召开的全国稳住经济大盘电视电话会议精神及省市县稳住经济大盘电视电话会议精神，按照《驻马店市人民政府关于明确2022年市政府工作目标任务责任单位的通知》(驻政〔2022〕26号)，锚定“两个确保”和“六个现代化驻马店”建设目标，服务“十大战略”，不断培育壮大市场主体，激发市场主体发展活力，结合县委县政府“五大工程五项保障二十七项重点工作任务”及我局职能，制定本措施。</w:t>
      </w:r>
    </w:p>
    <w:p>
      <w:pPr>
        <w:spacing w:line="560" w:lineRule="exact"/>
        <w:ind w:firstLine="640" w:firstLineChars="200"/>
        <w:rPr>
          <w:rFonts w:ascii="楷体_GB2312" w:hAnsi="楷体" w:eastAsia="楷体_GB2312" w:cs="宋体"/>
          <w:bCs/>
          <w:color w:val="000000" w:themeColor="text1"/>
          <w:kern w:val="0"/>
          <w:sz w:val="32"/>
          <w:szCs w:val="32"/>
          <w14:textFill>
            <w14:solidFill>
              <w14:schemeClr w14:val="tx1"/>
            </w14:solidFill>
          </w14:textFill>
        </w:rPr>
      </w:pPr>
      <w:r>
        <w:rPr>
          <w:rFonts w:hint="eastAsia" w:ascii="楷体_GB2312" w:hAnsi="楷体" w:eastAsia="楷体_GB2312" w:cs="宋体"/>
          <w:bCs/>
          <w:color w:val="000000" w:themeColor="text1"/>
          <w:kern w:val="0"/>
          <w:sz w:val="32"/>
          <w:szCs w:val="32"/>
          <w14:textFill>
            <w14:solidFill>
              <w14:schemeClr w14:val="tx1"/>
            </w14:solidFill>
          </w14:textFill>
        </w:rPr>
        <w:t>一、深入开展“万人助万企”活动</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牢固树立“服务企业就是服务全县工作大局”的理念，把“万人助万企”活动作为培育壮大市场主体工作的首要抓手，坚持“躬身服务、应帮尽帮、无事不扰、亲清高效”四项原则，紧紧围绕“党建领企、准入帮企、信用塑企、质量兴企、标准强企、品牌亮企、纽带连企、执法护企”8个领域，充分发挥市场监管职能优势，为企业发展壮大蓄力赋能。贯彻落实领导包联制度，深入开展走访调研服务，切实掌握企业遇到的困难和问题，动态调整问题台账，坚持“点办理、批处理”，一企一策拿出解决方案，实行对账销号，确保问题解决率和企业满意率实现两个100%。</w:t>
      </w:r>
    </w:p>
    <w:p>
      <w:pPr>
        <w:spacing w:line="560" w:lineRule="exact"/>
        <w:ind w:firstLine="640" w:firstLineChars="200"/>
        <w:rPr>
          <w:rFonts w:ascii="楷体_GB2312" w:hAnsi="楷体" w:eastAsia="楷体_GB2312" w:cs="宋体"/>
          <w:bCs/>
          <w:color w:val="000000" w:themeColor="text1"/>
          <w:kern w:val="0"/>
          <w:sz w:val="32"/>
          <w:szCs w:val="32"/>
          <w14:textFill>
            <w14:solidFill>
              <w14:schemeClr w14:val="tx1"/>
            </w14:solidFill>
          </w14:textFill>
        </w:rPr>
      </w:pPr>
      <w:r>
        <w:rPr>
          <w:rFonts w:hint="eastAsia" w:ascii="楷体_GB2312" w:hAnsi="楷体" w:eastAsia="楷体_GB2312" w:cs="宋体"/>
          <w:bCs/>
          <w:color w:val="000000" w:themeColor="text1"/>
          <w:kern w:val="0"/>
          <w:sz w:val="32"/>
          <w:szCs w:val="32"/>
          <w14:textFill>
            <w14:solidFill>
              <w14:schemeClr w14:val="tx1"/>
            </w14:solidFill>
          </w14:textFill>
        </w:rPr>
        <w:t>二、深化“证照分离”改革全覆盖</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把“证照分离”改革作为深化“放管服”改革的牵引抓手，充分利用好、发挥好牵头作用，通过直接取消审批、审批改为备案、实行告知承诺、优化审批服务等四种方式分类推进涉企经营许可审批改革，深入实施区域和事项“两个全覆盖”，统筹推进改革任务落实，推动“照后减证”和简化审批，实现准入准营同步提速。健全我县“双告知”工作制度，不断完善涉企经营许可事项“双告知”目录，积极将市场主体登记信息推送至其他政府部门共享应用。</w:t>
      </w:r>
    </w:p>
    <w:p>
      <w:pPr>
        <w:spacing w:line="560" w:lineRule="exact"/>
        <w:ind w:firstLine="640" w:firstLineChars="200"/>
        <w:rPr>
          <w:rFonts w:ascii="楷体_GB2312" w:hAnsi="楷体" w:eastAsia="楷体_GB2312" w:cs="宋体"/>
          <w:color w:val="000000" w:themeColor="text1"/>
          <w:kern w:val="0"/>
          <w:sz w:val="32"/>
          <w:szCs w:val="32"/>
          <w14:textFill>
            <w14:solidFill>
              <w14:schemeClr w14:val="tx1"/>
            </w14:solidFill>
          </w14:textFill>
        </w:rPr>
      </w:pPr>
      <w:r>
        <w:rPr>
          <w:rFonts w:hint="eastAsia" w:ascii="楷体_GB2312" w:hAnsi="楷体" w:eastAsia="楷体_GB2312" w:cs="宋体"/>
          <w:bCs/>
          <w:color w:val="000000" w:themeColor="text1"/>
          <w:kern w:val="0"/>
          <w:sz w:val="32"/>
          <w:szCs w:val="32"/>
          <w14:textFill>
            <w14:solidFill>
              <w14:schemeClr w14:val="tx1"/>
            </w14:solidFill>
          </w14:textFill>
        </w:rPr>
        <w:t>三、打造“企业开办+N项服务”升级版</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将更多涉企事项纳入“企业开办+N项服务”覆盖范围，在已纳入企业设立登记(合并社保登记)、公章刻制、申领发票和税控设备、住房公积金企业缴存登记等事项的基础上，将员工参保登记、银行预约开户等事项进一步纳入企业开办“一网通办”平台，实行集成办理，推动“企业开办+N项服务”升级、提速、扩围。进一步加强部门间信息数据互联共享，打通身份验证信息共享通道，只需进行一次身份验证，即可办理各环节事项，实现一次采集、多部门共享共用。创新线下服务举措，大力开展辅导帮办，构建线上“一网通办”、线下“一窗通办”的服务模式，全市企业开办实现“一网通办、一次办妥、一</w:t>
      </w:r>
      <w:r>
        <w:rPr>
          <w:rFonts w:hint="eastAsia" w:ascii="仿宋_GB2312" w:hAnsi="宋体" w:eastAsia="仿宋_GB2312" w:cs="宋体"/>
          <w:color w:val="000000" w:themeColor="text1"/>
          <w:kern w:val="0"/>
          <w:sz w:val="32"/>
          <w:szCs w:val="32"/>
          <w:lang w:eastAsia="zh-CN"/>
          <w14:textFill>
            <w14:solidFill>
              <w14:schemeClr w14:val="tx1"/>
            </w14:solidFill>
          </w14:textFill>
        </w:rPr>
        <w:t>次</w:t>
      </w:r>
      <w:r>
        <w:rPr>
          <w:rFonts w:hint="eastAsia" w:ascii="仿宋_GB2312" w:hAnsi="宋体" w:eastAsia="仿宋_GB2312" w:cs="宋体"/>
          <w:color w:val="000000" w:themeColor="text1"/>
          <w:kern w:val="0"/>
          <w:sz w:val="32"/>
          <w:szCs w:val="32"/>
          <w14:textFill>
            <w14:solidFill>
              <w14:schemeClr w14:val="tx1"/>
            </w14:solidFill>
          </w14:textFill>
        </w:rPr>
        <w:t>办结”。</w:t>
      </w:r>
    </w:p>
    <w:p>
      <w:pPr>
        <w:spacing w:line="560" w:lineRule="exact"/>
        <w:ind w:firstLine="640" w:firstLineChars="200"/>
        <w:rPr>
          <w:rFonts w:ascii="楷体_GB2312" w:hAnsi="楷体" w:eastAsia="楷体_GB2312" w:cs="宋体"/>
          <w:color w:val="000000" w:themeColor="text1"/>
          <w:kern w:val="0"/>
          <w:sz w:val="32"/>
          <w:szCs w:val="32"/>
          <w14:textFill>
            <w14:solidFill>
              <w14:schemeClr w14:val="tx1"/>
            </w14:solidFill>
          </w14:textFill>
        </w:rPr>
      </w:pPr>
      <w:r>
        <w:rPr>
          <w:rFonts w:hint="eastAsia" w:ascii="楷体_GB2312" w:hAnsi="楷体" w:eastAsia="楷体_GB2312" w:cs="宋体"/>
          <w:bCs/>
          <w:color w:val="000000" w:themeColor="text1"/>
          <w:kern w:val="0"/>
          <w:sz w:val="32"/>
          <w:szCs w:val="32"/>
          <w14:textFill>
            <w14:solidFill>
              <w14:schemeClr w14:val="tx1"/>
            </w14:solidFill>
          </w14:textFill>
        </w:rPr>
        <w:t>四、推进登记注册便利化改革</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全面实行企业名称自主申报、经营范围自主勾选、住所信息自主承诺“三个自主”，降低市场准入门槛。推行个体工商户智能审批，登记事项实行标准化勾选，电子营业执照即时发放，提供便利店式的“7×24”小时不打烊服务，实现个体工商户登记全程零见面、零跑腿、零干预。允许因自然灾害、事故灾难、公共卫生事件、社会安全事件等原因造成经营困难的市场主体，自主决定在一定时期内歇业，降低市场主体经营成本。</w:t>
      </w:r>
    </w:p>
    <w:p>
      <w:pPr>
        <w:spacing w:line="560" w:lineRule="exact"/>
        <w:ind w:firstLine="640" w:firstLineChars="200"/>
        <w:rPr>
          <w:rFonts w:ascii="楷体_GB2312" w:hAnsi="楷体" w:eastAsia="楷体_GB2312" w:cs="宋体"/>
          <w:color w:val="000000" w:themeColor="text1"/>
          <w:kern w:val="0"/>
          <w:sz w:val="32"/>
          <w:szCs w:val="32"/>
          <w14:textFill>
            <w14:solidFill>
              <w14:schemeClr w14:val="tx1"/>
            </w14:solidFill>
          </w14:textFill>
        </w:rPr>
      </w:pPr>
      <w:r>
        <w:rPr>
          <w:rFonts w:hint="eastAsia" w:ascii="楷体_GB2312" w:hAnsi="楷体" w:eastAsia="楷体_GB2312" w:cs="宋体"/>
          <w:bCs/>
          <w:color w:val="000000" w:themeColor="text1"/>
          <w:kern w:val="0"/>
          <w:sz w:val="32"/>
          <w:szCs w:val="32"/>
          <w14:textFill>
            <w14:solidFill>
              <w14:schemeClr w14:val="tx1"/>
            </w14:solidFill>
          </w14:textFill>
        </w:rPr>
        <w:t>五、大力推广电子营业执照应用</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充分发挥登记注册全程电子化系统“全地域、全业务、全类型覆盖”和“无纸化、无介质、零收费”优势，推动电子营业执照在企业登记、经营、投资和工程建设等高频政务服务事项中的应用。推动企业相关信息“最多报一次”，能够通过电子营业执照关联查询、核验企业办事所需信息的，不再要求企业提供实体证照或纸质材料，探索推行电子营业执照跨区域、跨部门、跨领域应用，带动高频涉企服务事项“跨省通办”，切实为企业降成本、增便利。</w:t>
      </w:r>
    </w:p>
    <w:p>
      <w:pPr>
        <w:spacing w:line="560" w:lineRule="exact"/>
        <w:ind w:firstLine="640" w:firstLineChars="200"/>
        <w:rPr>
          <w:rFonts w:ascii="楷体_GB2312" w:hAnsi="楷体" w:eastAsia="楷体_GB2312" w:cs="宋体"/>
          <w:color w:val="000000" w:themeColor="text1"/>
          <w:kern w:val="0"/>
          <w:sz w:val="32"/>
          <w:szCs w:val="32"/>
          <w14:textFill>
            <w14:solidFill>
              <w14:schemeClr w14:val="tx1"/>
            </w14:solidFill>
          </w14:textFill>
        </w:rPr>
      </w:pPr>
      <w:r>
        <w:rPr>
          <w:rFonts w:hint="eastAsia" w:ascii="楷体_GB2312" w:hAnsi="楷体" w:eastAsia="楷体_GB2312" w:cs="宋体"/>
          <w:bCs/>
          <w:color w:val="000000" w:themeColor="text1"/>
          <w:kern w:val="0"/>
          <w:sz w:val="32"/>
          <w:szCs w:val="32"/>
          <w14:textFill>
            <w14:solidFill>
              <w14:schemeClr w14:val="tx1"/>
            </w14:solidFill>
          </w14:textFill>
        </w:rPr>
        <w:t>六、支持非公经济健康发展</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扩大党的组织和党的工作在非公经济领域的覆盖面，充分发挥党组织的战斗堡垒和党员的先锋模范作用，以党建引领市场主体发展行稳致远。建立扶持个体工商户发展部门联席会议制度，充分发挥联席会议职能作用，健全工作机制，加强部门协作，形成扶持合力，重点解决个体工商户在政策传导、融资减负、稳岗保障、竞争发展等方面遇到的问题，助推个体工商户平稳健康发展。积极推进个体工商户转型升级，支持具有一定规模、一定资产的个体工商户转型升级为小微企业，提升市场主体规模化水平和抗风险能力。</w:t>
      </w:r>
    </w:p>
    <w:p>
      <w:pPr>
        <w:spacing w:line="560" w:lineRule="exact"/>
        <w:ind w:firstLine="640" w:firstLineChars="200"/>
        <w:rPr>
          <w:rFonts w:ascii="楷体_GB2312" w:hAnsi="楷体" w:eastAsia="楷体_GB2312" w:cs="宋体"/>
          <w:color w:val="000000" w:themeColor="text1"/>
          <w:kern w:val="0"/>
          <w:sz w:val="32"/>
          <w:szCs w:val="32"/>
          <w14:textFill>
            <w14:solidFill>
              <w14:schemeClr w14:val="tx1"/>
            </w14:solidFill>
          </w14:textFill>
        </w:rPr>
      </w:pPr>
      <w:r>
        <w:rPr>
          <w:rFonts w:hint="eastAsia" w:ascii="楷体_GB2312" w:hAnsi="楷体" w:eastAsia="楷体_GB2312" w:cs="宋体"/>
          <w:bCs/>
          <w:color w:val="000000" w:themeColor="text1"/>
          <w:kern w:val="0"/>
          <w:sz w:val="32"/>
          <w:szCs w:val="32"/>
          <w14:textFill>
            <w14:solidFill>
              <w14:schemeClr w14:val="tx1"/>
            </w14:solidFill>
          </w14:textFill>
        </w:rPr>
        <w:t>七、深化质量技术全要素精准赋能</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深入实施“质量强县”战略，开展区域质量、制造业质量、服务业质量“三提升”行动。建设全县质量基础设施一站式服务平台，支撑产业提质增效升级。持续做好县长质量奖评审工作，严格县长质量奖评审程序，对县长质量奖获奖单位定期巡访实行动态管理。发挥政府质量奖的示范引领作用，推广卓越绩效模式，提升质量管理水平，组织符合条件的企业积极争创市长质量奖。加强民生、环保、医疗领域计量监督检查，打造计量检定校准公共平台，更好地为市场主体服务。开展“小微企业质量管理体系认证提升”行动，推行高端品质认证，服务小微企业高质量发展。推行检验检测资质认定清单管理，整合市场资源，提供多元服务，着力构建与我县新兴产业发展相适应的检验检测服务体系，支持检验检测机构做优做强。</w:t>
      </w:r>
    </w:p>
    <w:p>
      <w:pPr>
        <w:spacing w:line="560" w:lineRule="exact"/>
        <w:ind w:firstLine="640" w:firstLineChars="200"/>
        <w:rPr>
          <w:rFonts w:ascii="楷体_GB2312" w:hAnsi="楷体" w:eastAsia="楷体_GB2312" w:cs="宋体"/>
          <w:color w:val="000000" w:themeColor="text1"/>
          <w:kern w:val="0"/>
          <w:sz w:val="32"/>
          <w:szCs w:val="32"/>
          <w14:textFill>
            <w14:solidFill>
              <w14:schemeClr w14:val="tx1"/>
            </w14:solidFill>
          </w14:textFill>
        </w:rPr>
      </w:pPr>
      <w:r>
        <w:rPr>
          <w:rFonts w:hint="eastAsia" w:ascii="楷体_GB2312" w:hAnsi="楷体" w:eastAsia="楷体_GB2312" w:cs="宋体"/>
          <w:bCs/>
          <w:color w:val="000000" w:themeColor="text1"/>
          <w:kern w:val="0"/>
          <w:sz w:val="32"/>
          <w:szCs w:val="32"/>
          <w14:textFill>
            <w14:solidFill>
              <w14:schemeClr w14:val="tx1"/>
            </w14:solidFill>
          </w14:textFill>
        </w:rPr>
        <w:t>八、加大标准化支持服务力度</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贯彻落实《国家标准化发展纲要》，积极开展对标达标提升行动，在装备制造、新兴产业等重点领域培育企业“标准领跑者”。支持企业创建国家级和省级标准化示范项目，协助解决标准实施中的有关问题，推动标准有效实施，确保项目建设质量。鼓励大中型企业积极采用国际标准和国外先进标准，支持企业参与国际标准、国家标准、行业标准、地方标准和全国性团体标准制修订，以标准“走出去”带动产品、技术、装备、服务“走出去”。全面实行企业标准自我声明公开和监督制度，提升企业尤其是中小微企业标准化意识，促进企业产品质量提升。</w:t>
      </w:r>
    </w:p>
    <w:p>
      <w:pPr>
        <w:spacing w:line="560" w:lineRule="exact"/>
        <w:ind w:firstLine="640" w:firstLineChars="200"/>
        <w:rPr>
          <w:rFonts w:ascii="楷体" w:hAnsi="楷体" w:eastAsia="楷体" w:cs="宋体"/>
          <w:color w:val="000000" w:themeColor="text1"/>
          <w:kern w:val="0"/>
          <w:sz w:val="32"/>
          <w:szCs w:val="32"/>
          <w14:textFill>
            <w14:solidFill>
              <w14:schemeClr w14:val="tx1"/>
            </w14:solidFill>
          </w14:textFill>
        </w:rPr>
      </w:pPr>
      <w:r>
        <w:rPr>
          <w:rFonts w:hint="eastAsia" w:ascii="楷体" w:hAnsi="楷体" w:eastAsia="楷体" w:cs="宋体"/>
          <w:bCs/>
          <w:color w:val="000000" w:themeColor="text1"/>
          <w:kern w:val="0"/>
          <w:sz w:val="32"/>
          <w:szCs w:val="32"/>
          <w14:textFill>
            <w14:solidFill>
              <w14:schemeClr w14:val="tx1"/>
            </w14:solidFill>
          </w14:textFill>
        </w:rPr>
        <w:t>九、加强知识产权促进和保护</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支持优势企业实施商标品牌发展战略，指导开展驰名商标、地理标志申请，不断提升本土品牌影响力。持续开展知识产权专项提升行动，强化高价值专利培育推进力度，在重点企业和高校建设“高价值专利培育中心”，优化专利导航布局，助力企业提升核心竞争力。加强商标使用指导，支持企业开展商标海外布局，培育具有市场竞争力、国际影响力的知名商标品牌。完善我县知识产权信息服务体系，充实数据库和知识产权专家库，促进区域知识产权管理和服务工作科学化、专业化、规范化。引进知识产权服务机构和知识产权高端专业人才，入园入企开展“一对一”精准服务，增强企业知识产权意识，提升服务效能。加大知识产权维权援助力度，重点为中小企业和专利权人提供知识产权法律援助，开展涉外知识产权维权保护和风险预警工作。开展知识产权保护专项行动，加大侵权假冒案件查处力度。</w:t>
      </w:r>
    </w:p>
    <w:p>
      <w:pPr>
        <w:spacing w:line="560" w:lineRule="exact"/>
        <w:ind w:firstLine="640" w:firstLineChars="200"/>
        <w:rPr>
          <w:rFonts w:ascii="楷体_GB2312" w:hAnsi="楷体" w:eastAsia="楷体_GB2312" w:cs="宋体"/>
          <w:color w:val="000000" w:themeColor="text1"/>
          <w:kern w:val="0"/>
          <w:sz w:val="32"/>
          <w:szCs w:val="32"/>
          <w14:textFill>
            <w14:solidFill>
              <w14:schemeClr w14:val="tx1"/>
            </w14:solidFill>
          </w14:textFill>
        </w:rPr>
      </w:pPr>
      <w:r>
        <w:rPr>
          <w:rFonts w:hint="eastAsia" w:ascii="楷体_GB2312" w:hAnsi="楷体" w:eastAsia="楷体_GB2312" w:cs="宋体"/>
          <w:bCs/>
          <w:color w:val="000000" w:themeColor="text1"/>
          <w:kern w:val="0"/>
          <w:sz w:val="32"/>
          <w:szCs w:val="32"/>
          <w14:textFill>
            <w14:solidFill>
              <w14:schemeClr w14:val="tx1"/>
            </w14:solidFill>
          </w14:textFill>
        </w:rPr>
        <w:t>十、深化政银合作化解融资难题</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全面深化政银合作，拓宽小微企业融资渠道，充分发挥市场主体信用信息资源优势，把信用优质的市场主体名单推送给签约的银行和其它金融机构，推行纯信用经营贷款。积极探索利用动产抵押、股权质押、知识产权质押等方式，解决小微企业融资难、融资贵问题。持续推进融资助企“三进”（进市场、进商场、进企业）活动，在做好疫情防控前提下，促进小微企业与金融机构直接洽谈签约，提高融资效能。加大驻马店市金融服务平台宣传，鼓励小微企业、个体工商户通过在该平台注册的方式在线上发布融资需求，选择金融产品，构建全天候无差别金融服务体系。</w:t>
      </w:r>
    </w:p>
    <w:p>
      <w:pPr>
        <w:spacing w:line="560" w:lineRule="exact"/>
        <w:ind w:firstLine="640" w:firstLineChars="200"/>
        <w:rPr>
          <w:rFonts w:ascii="楷体_GB2312" w:hAnsi="楷体" w:eastAsia="楷体_GB2312" w:cs="宋体"/>
          <w:color w:val="000000" w:themeColor="text1"/>
          <w:kern w:val="0"/>
          <w:sz w:val="32"/>
          <w:szCs w:val="32"/>
          <w14:textFill>
            <w14:solidFill>
              <w14:schemeClr w14:val="tx1"/>
            </w14:solidFill>
          </w14:textFill>
        </w:rPr>
      </w:pPr>
      <w:r>
        <w:rPr>
          <w:rFonts w:hint="eastAsia" w:ascii="楷体_GB2312" w:hAnsi="楷体" w:eastAsia="楷体_GB2312" w:cs="宋体"/>
          <w:bCs/>
          <w:color w:val="000000" w:themeColor="text1"/>
          <w:kern w:val="0"/>
          <w:sz w:val="32"/>
          <w:szCs w:val="32"/>
          <w14:textFill>
            <w14:solidFill>
              <w14:schemeClr w14:val="tx1"/>
            </w14:solidFill>
          </w14:textFill>
        </w:rPr>
        <w:t>十一、优化完善信用监管机制</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全面推行“双随机、一公开”监管，完善以“双随机、一公开”监管为基本手段、以重点监管为补充、以信用监管为基础的新型监管机制，最大限度地减少监管对企业正常生产经营的干扰。巩固和拓展部门联合“双随机、一公开”监管覆盖面，强化抽查检查结果的公示、共享和运用。加强企业信用风险分类监管工作，建立企业信用风险分类指标体系，科学运用信用风险分类结果。做好涉企信息的归集共享，扩大涉企信息归集共享范围和领域，按照“谁产生、谁公示、谁负责”的原则全面归集涉企信息，促进涉企信息“应归尽归”。</w:t>
      </w:r>
    </w:p>
    <w:p>
      <w:pPr>
        <w:spacing w:line="560" w:lineRule="exact"/>
        <w:ind w:firstLine="640" w:firstLineChars="200"/>
        <w:rPr>
          <w:rFonts w:ascii="楷体_GB2312" w:hAnsi="楷体" w:eastAsia="楷体_GB2312" w:cs="宋体"/>
          <w:color w:val="000000" w:themeColor="text1"/>
          <w:kern w:val="0"/>
          <w:sz w:val="32"/>
          <w:szCs w:val="32"/>
          <w14:textFill>
            <w14:solidFill>
              <w14:schemeClr w14:val="tx1"/>
            </w14:solidFill>
          </w14:textFill>
        </w:rPr>
      </w:pPr>
      <w:r>
        <w:rPr>
          <w:rFonts w:hint="eastAsia" w:ascii="楷体_GB2312" w:hAnsi="楷体" w:eastAsia="楷体_GB2312" w:cs="宋体"/>
          <w:bCs/>
          <w:color w:val="000000" w:themeColor="text1"/>
          <w:kern w:val="0"/>
          <w:sz w:val="32"/>
          <w:szCs w:val="32"/>
          <w14:textFill>
            <w14:solidFill>
              <w14:schemeClr w14:val="tx1"/>
            </w14:solidFill>
          </w14:textFill>
        </w:rPr>
        <w:t>十二、建立市场主体信用修复机制</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优化完善失信企业信用修复工作，拓宽修复渠道、丰富修复方式，鼓励企业重塑信用，助力企业诚信经营、有序发展。进一步规范异常名录、严重违法失信名单和行政处罚公示管理，积极引导企业主动信用修复，全力协助企业解决修复难题，不断提高企业信用修复效能，确保信用修复的精准性、及时性和有效性，增强市场主体依法诚信经营、重塑自身诚信形象的意识和能力。</w:t>
      </w:r>
    </w:p>
    <w:p>
      <w:pPr>
        <w:spacing w:line="560" w:lineRule="exact"/>
        <w:ind w:firstLine="640" w:firstLineChars="200"/>
        <w:rPr>
          <w:rFonts w:ascii="楷体_GB2312" w:hAnsi="楷体" w:eastAsia="楷体_GB2312" w:cs="宋体"/>
          <w:color w:val="000000" w:themeColor="text1"/>
          <w:kern w:val="0"/>
          <w:sz w:val="32"/>
          <w:szCs w:val="32"/>
          <w14:textFill>
            <w14:solidFill>
              <w14:schemeClr w14:val="tx1"/>
            </w14:solidFill>
          </w14:textFill>
        </w:rPr>
      </w:pPr>
      <w:r>
        <w:rPr>
          <w:rFonts w:hint="eastAsia" w:ascii="楷体_GB2312" w:hAnsi="楷体" w:eastAsia="楷体_GB2312" w:cs="宋体"/>
          <w:bCs/>
          <w:color w:val="000000" w:themeColor="text1"/>
          <w:kern w:val="0"/>
          <w:sz w:val="32"/>
          <w:szCs w:val="32"/>
          <w14:textFill>
            <w14:solidFill>
              <w14:schemeClr w14:val="tx1"/>
            </w14:solidFill>
          </w14:textFill>
        </w:rPr>
        <w:t>十三、加强重点领域监管执法</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加强食品药品、特种设备、工业产品、价格、网络平台、广告等领域的监管执法，强化反垄断和反不正当竞争执法，推进公平竞争审查制度，积极清理和废除妨碍统一市场和公平竞争的各种政策文件，清理地方保护和行政垄断行为。深化民生领域“铁拳”行动，组织开展涉企违规收费专项整治行动，推进放心消费创建，推行柔性执法。加大对网络交易监测监管力度，促进电子商务经营者持续健康发展。统筹市场监管、质量监管、安全监管，建立全方位、多层次、立体化监管体系，提升市场监管治理能力和治理体系现代化水平，为市场主体正常生产经营保驾护航。</w:t>
      </w:r>
    </w:p>
    <w:p>
      <w:pPr>
        <w:spacing w:line="560" w:lineRule="exact"/>
        <w:ind w:firstLine="640" w:firstLineChars="200"/>
        <w:rPr>
          <w:rFonts w:ascii="楷体_GB2312" w:hAnsi="楷体" w:eastAsia="楷体_GB2312" w:cs="宋体"/>
          <w:color w:val="000000" w:themeColor="text1"/>
          <w:kern w:val="0"/>
          <w:sz w:val="32"/>
          <w:szCs w:val="32"/>
          <w14:textFill>
            <w14:solidFill>
              <w14:schemeClr w14:val="tx1"/>
            </w14:solidFill>
          </w14:textFill>
        </w:rPr>
      </w:pPr>
      <w:r>
        <w:rPr>
          <w:rFonts w:hint="eastAsia" w:ascii="楷体_GB2312" w:hAnsi="楷体" w:eastAsia="楷体_GB2312" w:cs="宋体"/>
          <w:bCs/>
          <w:color w:val="000000" w:themeColor="text1"/>
          <w:kern w:val="0"/>
          <w:sz w:val="32"/>
          <w:szCs w:val="32"/>
          <w14:textFill>
            <w14:solidFill>
              <w14:schemeClr w14:val="tx1"/>
            </w14:solidFill>
          </w14:textFill>
        </w:rPr>
        <w:t>十四、开展市场主体发展分析研究</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聚焦县委、县政府中心工作，充分发挥市场监管部门掌握的数据优势，开展全局性、综合性分析，对我县市场主体发展状况进行深度分析和全面剖析，以数据分析研究赋能科学决策。不断深化对市场主体发展规律的认识，发挥主观能动性，围绕关键领域，积极联合相关部门拓展分析研究的覆盖面，努力当好党委政府决策的参谋助手。</w:t>
      </w:r>
    </w:p>
    <w:p>
      <w:pPr>
        <w:spacing w:line="56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 xml:space="preserve">                    </w:t>
      </w:r>
    </w:p>
    <w:p>
      <w:pPr>
        <w:spacing w:line="560" w:lineRule="exact"/>
        <w:ind w:firstLine="4640" w:firstLineChars="145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西平县市场监督管理局</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color w:val="000000" w:themeColor="text1"/>
          <w:sz w:val="32"/>
          <w:szCs w:val="32"/>
          <w14:textFill>
            <w14:solidFill>
              <w14:schemeClr w14:val="tx1"/>
            </w14:solidFill>
          </w14:textFill>
        </w:rPr>
        <w:t xml:space="preserve">                            2022年6月1日</w:t>
      </w:r>
    </w:p>
    <w:p>
      <w:pPr>
        <w:spacing w:line="580" w:lineRule="exact"/>
        <w:ind w:firstLine="640" w:firstLineChars="200"/>
        <w:rPr>
          <w:rFonts w:ascii="仿宋_GB2312" w:hAnsi="宋体" w:eastAsia="仿宋_GB2312" w:cs="仿宋_GB2312"/>
          <w:sz w:val="32"/>
          <w:szCs w:val="32"/>
        </w:rPr>
      </w:pPr>
    </w:p>
    <w:p/>
    <w:p>
      <w:pPr>
        <w:pStyle w:val="4"/>
        <w:widowControl/>
        <w:shd w:val="clear" w:color="auto" w:fill="FFFFFF"/>
        <w:spacing w:beforeAutospacing="0" w:afterAutospacing="0" w:line="560" w:lineRule="exact"/>
        <w:jc w:val="center"/>
        <w:rPr>
          <w:rFonts w:ascii="仿宋" w:hAnsi="仿宋" w:eastAsia="仿宋" w:cs="仿宋"/>
          <w:sz w:val="32"/>
          <w:szCs w:val="32"/>
        </w:rPr>
      </w:pPr>
    </w:p>
    <w:sectPr>
      <w:footerReference r:id="rId3" w:type="default"/>
      <w:pgSz w:w="11906" w:h="16838"/>
      <w:pgMar w:top="1587" w:right="141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MzFmYzM4NGMxN2JjN2ExNmViNjgyYWNjOTI5ZGUifQ=="/>
  </w:docVars>
  <w:rsids>
    <w:rsidRoot w:val="226C1737"/>
    <w:rsid w:val="00077B52"/>
    <w:rsid w:val="00187C5D"/>
    <w:rsid w:val="00245068"/>
    <w:rsid w:val="002A0431"/>
    <w:rsid w:val="003374F9"/>
    <w:rsid w:val="00347EAB"/>
    <w:rsid w:val="0036555C"/>
    <w:rsid w:val="003B7639"/>
    <w:rsid w:val="00420950"/>
    <w:rsid w:val="00421730"/>
    <w:rsid w:val="00423DCE"/>
    <w:rsid w:val="005749C9"/>
    <w:rsid w:val="0063143C"/>
    <w:rsid w:val="006D0F71"/>
    <w:rsid w:val="00752E6D"/>
    <w:rsid w:val="008335AB"/>
    <w:rsid w:val="00837BC0"/>
    <w:rsid w:val="00862329"/>
    <w:rsid w:val="00873A7D"/>
    <w:rsid w:val="00892046"/>
    <w:rsid w:val="008C353C"/>
    <w:rsid w:val="008D1B1D"/>
    <w:rsid w:val="008F4AC0"/>
    <w:rsid w:val="009A111D"/>
    <w:rsid w:val="009A6A04"/>
    <w:rsid w:val="009F0390"/>
    <w:rsid w:val="00A22AB1"/>
    <w:rsid w:val="00B00A98"/>
    <w:rsid w:val="00B156AD"/>
    <w:rsid w:val="00BF4983"/>
    <w:rsid w:val="00C046BC"/>
    <w:rsid w:val="00C11169"/>
    <w:rsid w:val="00C805E2"/>
    <w:rsid w:val="00C84902"/>
    <w:rsid w:val="00C84D5E"/>
    <w:rsid w:val="00CC0F60"/>
    <w:rsid w:val="00CC1C3D"/>
    <w:rsid w:val="00D26E86"/>
    <w:rsid w:val="00D627FB"/>
    <w:rsid w:val="00D65F52"/>
    <w:rsid w:val="00DC4329"/>
    <w:rsid w:val="00E10484"/>
    <w:rsid w:val="00E1231D"/>
    <w:rsid w:val="00E17013"/>
    <w:rsid w:val="00E41C65"/>
    <w:rsid w:val="00E95AE9"/>
    <w:rsid w:val="00EE6FFD"/>
    <w:rsid w:val="00F06B4B"/>
    <w:rsid w:val="00F52955"/>
    <w:rsid w:val="00FD494E"/>
    <w:rsid w:val="0AE74EB6"/>
    <w:rsid w:val="0B340811"/>
    <w:rsid w:val="0D3F637B"/>
    <w:rsid w:val="1DF53B1E"/>
    <w:rsid w:val="1FCF03E9"/>
    <w:rsid w:val="226C1737"/>
    <w:rsid w:val="3FDD160F"/>
    <w:rsid w:val="5729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3780</Words>
  <Characters>3801</Characters>
  <Lines>27</Lines>
  <Paragraphs>7</Paragraphs>
  <TotalTime>73</TotalTime>
  <ScaleCrop>false</ScaleCrop>
  <LinksUpToDate>false</LinksUpToDate>
  <CharactersWithSpaces>3849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2021-10-27T08:20:00Z</dcterms:created>
  <dc:creator>《『…＊…』》</dc:creator>
  <cp:lastModifiedBy>朱毛</cp:lastModifiedBy>
  <cp:lastPrinted>2022-06-03T04:08:00Z</cp:lastPrinted>
  <dcterms:modified xsi:type="dcterms:W3CDTF">2023-07-27T01:58:42Z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4C26BFE3D2DF44B09418316F6E239116_13</vt:lpwstr>
  </property>
</Properties>
</file>